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
    <w:p>
      <w:pPr>
        <w:adjustRightInd w:val="0"/>
        <w:snapToGrid w:val="0"/>
        <w:spacing w:line="600" w:lineRule="exact"/>
        <w:jc w:val="center"/>
        <w:rPr>
          <w:b/>
          <w:w w:val="60"/>
          <w:sz w:val="106"/>
          <w:szCs w:val="106"/>
        </w:rPr>
      </w:pPr>
      <w:r>
        <w:pict>
          <v:shape id="_x0000_s1041" o:spid="_x0000_s1041" o:spt="136" type="#_x0000_t136" style="position:absolute;left:0pt;margin-left:92.15pt;margin-top:100.4pt;height:53.85pt;width:411pt;mso-position-horizontal-relative:page;mso-position-vertical-relative:margin;z-index:251664384;mso-width-relative:page;mso-height-relative:page;" fillcolor="#FF0000" filled="t" stroked="f" coordsize="21600,21600">
            <v:path/>
            <v:fill on="t" focussize="0,0"/>
            <v:stroke on="f" color="#FF0000"/>
            <v:imagedata o:title=""/>
            <o:lock v:ext="edit"/>
            <v:textpath on="t" fitshape="t" fitpath="t" trim="t" xscale="f" string="重庆市市场监督管理局办公室" style="font-family:方正小标宋_GBK;font-size:36pt;font-weight:bold;v-text-align:center;"/>
          </v:shape>
        </w:pict>
      </w:r>
    </w:p>
    <w:p>
      <w:pPr>
        <w:spacing w:line="600" w:lineRule="exact"/>
      </w:pPr>
    </w:p>
    <w:p>
      <w:pPr>
        <w:jc w:val="center"/>
      </w:pPr>
    </w:p>
    <w:p>
      <w:pPr>
        <w:jc w:val="center"/>
      </w:pPr>
    </w:p>
    <w:p>
      <w:pPr>
        <w:jc w:val="center"/>
      </w:pPr>
      <w:r>
        <mc:AlternateContent>
          <mc:Choice Requires="wps">
            <w:drawing>
              <wp:anchor distT="0" distB="0" distL="114300" distR="114300" simplePos="0" relativeHeight="251652096" behindDoc="0" locked="0" layoutInCell="1" allowOverlap="1">
                <wp:simplePos x="0" y="0"/>
                <wp:positionH relativeFrom="page">
                  <wp:posOffset>972185</wp:posOffset>
                </wp:positionH>
                <wp:positionV relativeFrom="margin">
                  <wp:posOffset>2955925</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wps:wsp>
                  </a:graphicData>
                </a:graphic>
              </wp:anchor>
            </w:drawing>
          </mc:Choice>
          <mc:Fallback>
            <w:pict>
              <v:line id="直线 3" o:spid="_x0000_s1026" o:spt="20" style="position:absolute;left:0pt;margin-left:76.55pt;margin-top:232.75pt;height:0pt;width:442.2pt;mso-position-horizontal-relative:page;mso-position-vertical-relative:margin;z-index:251652096;mso-width-relative:page;mso-height-relative:page;" filled="f" stroked="t" coordsize="21600,21600" o:gfxdata="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7QkFTtgAAAAMAQAADwAAAAAAAAABACAAAAAiAAAAZHJzL2Rvd25y&#10;ZXYueG1sUEsBAhQAFAAAAAgAh07iQKhrsWnFAQAAggMAAA4AAAAAAAAAAQAgAAAAJwEAAGRycy9l&#10;Mm9Eb2MueG1sUEsFBgAAAAAGAAYAWQEAAF4FAAAAAA==&#10;">
                <v:fill on="f" focussize="0,0"/>
                <v:stroke weight="1.75pt" color="#FF0000" joinstyle="round"/>
                <v:imagedata o:title=""/>
                <o:lock v:ext="edit" aspectratio="f"/>
              </v:line>
            </w:pict>
          </mc:Fallback>
        </mc:AlternateContent>
      </w:r>
      <w:r>
        <w:rPr>
          <w:rFonts w:hint="eastAsia"/>
        </w:rPr>
        <w:t>渝市监办发</w:t>
      </w:r>
      <w:r>
        <w:rPr>
          <w:color w:val="000000"/>
        </w:rPr>
        <w:t>〔</w:t>
      </w:r>
      <w:r>
        <w:rPr>
          <w:rFonts w:hint="eastAsia"/>
          <w:color w:val="000000"/>
        </w:rPr>
        <w:t>2020</w:t>
      </w:r>
      <w:r>
        <w:rPr>
          <w:color w:val="000000"/>
        </w:rPr>
        <w:t>〕</w:t>
      </w:r>
      <w:r>
        <w:rPr>
          <w:rFonts w:hint="eastAsia"/>
          <w:color w:val="000000"/>
        </w:rPr>
        <w:t>32</w:t>
      </w:r>
      <w:r>
        <w:rPr>
          <w:color w:val="000000"/>
        </w:rPr>
        <w:t>号</w:t>
      </w:r>
    </w:p>
    <w:p>
      <w:pPr>
        <w:tabs>
          <w:tab w:val="left" w:pos="3792"/>
        </w:tabs>
      </w:pPr>
    </w:p>
    <w:p>
      <w:pPr>
        <w:tabs>
          <w:tab w:val="left" w:pos="3792"/>
        </w:tabs>
      </w:pPr>
    </w:p>
    <w:p>
      <w:pPr>
        <w:adjustRightInd w:val="0"/>
        <w:snapToGrid w:val="0"/>
        <w:spacing w:line="720" w:lineRule="atLeast"/>
        <w:jc w:val="center"/>
        <w:rPr>
          <w:rFonts w:eastAsia="方正小标宋_GBK"/>
          <w:kern w:val="36"/>
          <w:sz w:val="44"/>
          <w:szCs w:val="44"/>
        </w:rPr>
      </w:pPr>
      <w:r>
        <w:rPr>
          <w:rFonts w:hint="eastAsia" w:eastAsia="方正小标宋_GBK"/>
          <w:kern w:val="36"/>
          <w:sz w:val="44"/>
          <w:szCs w:val="44"/>
        </w:rPr>
        <w:t>重庆市市场监管局办公室</w:t>
      </w:r>
    </w:p>
    <w:p>
      <w:pPr>
        <w:adjustRightInd w:val="0"/>
        <w:snapToGrid w:val="0"/>
        <w:spacing w:line="720" w:lineRule="atLeast"/>
        <w:jc w:val="center"/>
        <w:rPr>
          <w:rFonts w:eastAsia="方正小标宋_GBK"/>
          <w:kern w:val="36"/>
          <w:sz w:val="44"/>
          <w:szCs w:val="44"/>
        </w:rPr>
      </w:pPr>
      <w:r>
        <w:rPr>
          <w:rFonts w:hint="eastAsia" w:eastAsia="方正小标宋_GBK"/>
          <w:kern w:val="36"/>
          <w:sz w:val="44"/>
          <w:szCs w:val="44"/>
        </w:rPr>
        <w:t>关于疫情期间对低风险食品生产许可实行</w:t>
      </w:r>
    </w:p>
    <w:p>
      <w:pPr>
        <w:adjustRightInd w:val="0"/>
        <w:snapToGrid w:val="0"/>
        <w:spacing w:line="720" w:lineRule="atLeast"/>
        <w:jc w:val="center"/>
        <w:rPr>
          <w:rFonts w:eastAsia="方正小标宋_GBK"/>
          <w:kern w:val="36"/>
          <w:sz w:val="44"/>
          <w:szCs w:val="44"/>
        </w:rPr>
      </w:pPr>
      <w:r>
        <w:rPr>
          <w:rFonts w:hint="eastAsia" w:eastAsia="方正小标宋_GBK"/>
          <w:kern w:val="36"/>
          <w:sz w:val="44"/>
          <w:szCs w:val="44"/>
        </w:rPr>
        <w:t>告知承诺试点有关事项的通知</w:t>
      </w:r>
    </w:p>
    <w:p>
      <w:pPr>
        <w:rPr>
          <w:rFonts w:eastAsia="方正楷体_GBK"/>
          <w:kern w:val="36"/>
          <w:szCs w:val="32"/>
        </w:rPr>
      </w:pPr>
    </w:p>
    <w:p>
      <w:pPr>
        <w:rPr>
          <w:kern w:val="36"/>
          <w:szCs w:val="32"/>
        </w:rPr>
      </w:pPr>
      <w:r>
        <w:rPr>
          <w:rFonts w:hint="eastAsia"/>
          <w:kern w:val="36"/>
          <w:szCs w:val="32"/>
        </w:rPr>
        <w:t>各区县局：</w:t>
      </w:r>
    </w:p>
    <w:p>
      <w:pPr>
        <w:rPr>
          <w:kern w:val="36"/>
          <w:szCs w:val="32"/>
        </w:rPr>
      </w:pPr>
      <w:r>
        <w:rPr>
          <w:rFonts w:hint="eastAsia"/>
          <w:kern w:val="36"/>
          <w:szCs w:val="32"/>
        </w:rPr>
        <w:t>　　为贯彻落实总局《支持复工复产十条》（国市监综〔2020〕30号）和市局《关于印发疫情期间支持企业复工复产若干措施的通知》（渝市监发〔2020〕9号）精神，进一步推进“放管服”改革，改善营商环境促进经济发展，现就疫情期间我市低风险食品生产许可实行告知承诺试点的有关事项通知如下：</w:t>
      </w:r>
    </w:p>
    <w:p>
      <w:pPr>
        <w:rPr>
          <w:rFonts w:eastAsia="方正黑体_GBK"/>
          <w:kern w:val="36"/>
          <w:szCs w:val="32"/>
        </w:rPr>
      </w:pPr>
      <w:r>
        <w:rPr>
          <w:rFonts w:hint="eastAsia"/>
          <w:szCs w:val="32"/>
        </w:rPr>
        <w:t>　　</w:t>
      </w:r>
      <w:r>
        <w:rPr>
          <w:rFonts w:hint="eastAsia" w:eastAsia="方正黑体_GBK"/>
          <w:kern w:val="36"/>
          <w:szCs w:val="32"/>
        </w:rPr>
        <w:t>一、实行时间及范围</w:t>
      </w:r>
    </w:p>
    <w:p>
      <w:pPr>
        <w:rPr>
          <w:kern w:val="36"/>
          <w:szCs w:val="32"/>
        </w:rPr>
      </w:pPr>
      <w:r>
        <w:rPr>
          <w:rFonts w:hint="eastAsia"/>
          <w:szCs w:val="32"/>
        </w:rPr>
        <w:t>　　</w:t>
      </w:r>
      <w:r>
        <w:rPr>
          <w:rFonts w:hint="eastAsia"/>
          <w:kern w:val="36"/>
          <w:szCs w:val="32"/>
        </w:rPr>
        <w:t>自2020年2月22日起至疫情解除，对小麦粉、大米、挂面、焙炒咖啡四类低风险食品类别在全市范围内实行告知承诺试点，由各区县局审批核发食品生产许可证。</w:t>
      </w:r>
    </w:p>
    <w:p>
      <w:pPr>
        <w:rPr>
          <w:rFonts w:eastAsia="方正黑体_GBK"/>
          <w:kern w:val="36"/>
          <w:szCs w:val="32"/>
        </w:rPr>
      </w:pPr>
      <w:r>
        <w:rPr>
          <w:rFonts w:hint="eastAsia"/>
          <w:szCs w:val="32"/>
        </w:rPr>
        <w:t>　　</w:t>
      </w:r>
      <w:r>
        <w:rPr>
          <w:rFonts w:hint="eastAsia" w:eastAsia="方正黑体_GBK"/>
          <w:kern w:val="36"/>
          <w:szCs w:val="32"/>
        </w:rPr>
        <w:t>二、办理流程　　</w:t>
      </w:r>
    </w:p>
    <w:p>
      <w:pPr>
        <w:rPr>
          <w:kern w:val="36"/>
          <w:szCs w:val="32"/>
        </w:rPr>
      </w:pPr>
      <w:r>
        <w:rPr>
          <w:rFonts w:hint="eastAsia"/>
          <w:szCs w:val="32"/>
        </w:rPr>
        <w:t>　　</w:t>
      </w:r>
      <w:r>
        <w:rPr>
          <w:rFonts w:hint="eastAsia"/>
          <w:kern w:val="36"/>
          <w:szCs w:val="32"/>
        </w:rPr>
        <w:t>市局制定《重庆市低风险食品生产许可行政审批告知承诺书》（以下简称“告知承诺书”，见附件1），并在重庆市市场监督管理局公众信息网站“政务服务”专栏（http://scjgj.cq.gov.cn）公示，供企业下载。告知承诺书需企业法定代表人（负责人）签字并加盖公章。</w:t>
      </w:r>
    </w:p>
    <w:p>
      <w:pPr>
        <w:rPr>
          <w:rFonts w:eastAsia="方正楷体_GBK"/>
          <w:kern w:val="36"/>
          <w:szCs w:val="32"/>
        </w:rPr>
      </w:pPr>
      <w:r>
        <w:rPr>
          <w:rFonts w:hint="eastAsia"/>
          <w:kern w:val="36"/>
          <w:szCs w:val="32"/>
        </w:rPr>
        <w:t>　　</w:t>
      </w:r>
      <w:r>
        <w:rPr>
          <w:rFonts w:hint="eastAsia" w:eastAsia="方正楷体_GBK"/>
          <w:kern w:val="36"/>
          <w:szCs w:val="32"/>
        </w:rPr>
        <w:t>（一）申请</w:t>
      </w:r>
    </w:p>
    <w:p>
      <w:pPr>
        <w:rPr>
          <w:kern w:val="36"/>
          <w:szCs w:val="32"/>
        </w:rPr>
      </w:pPr>
      <w:r>
        <w:rPr>
          <w:rFonts w:hint="eastAsia"/>
          <w:kern w:val="36"/>
          <w:szCs w:val="32"/>
        </w:rPr>
        <w:t xml:space="preserve">    1．申请企业登录重庆市市场监督管理局公众信息网站“政务服务”专栏（http://scjgj.cq.gov.cn），下载告知承诺书。</w:t>
      </w:r>
    </w:p>
    <w:p>
      <w:pPr>
        <w:rPr>
          <w:kern w:val="36"/>
          <w:szCs w:val="32"/>
        </w:rPr>
      </w:pPr>
      <w:r>
        <w:rPr>
          <w:rFonts w:hint="eastAsia"/>
          <w:kern w:val="36"/>
          <w:szCs w:val="32"/>
        </w:rPr>
        <w:t xml:space="preserve">    2．申请企业携带企业法定代表人（负责人）签字并加盖公章的告知承诺书及其他规定的申请材料到所在区县（自治县）政府行政服务中心（或政务大厅）市场监管部门行政许可窗口办理。</w:t>
      </w:r>
    </w:p>
    <w:p>
      <w:pPr>
        <w:rPr>
          <w:rFonts w:eastAsia="方正楷体_GBK"/>
          <w:kern w:val="36"/>
          <w:szCs w:val="32"/>
        </w:rPr>
      </w:pPr>
      <w:r>
        <w:rPr>
          <w:rFonts w:hint="eastAsia"/>
          <w:kern w:val="36"/>
          <w:szCs w:val="32"/>
        </w:rPr>
        <w:t>　　</w:t>
      </w:r>
      <w:r>
        <w:rPr>
          <w:rFonts w:hint="eastAsia" w:eastAsia="方正楷体_GBK"/>
          <w:kern w:val="36"/>
          <w:szCs w:val="32"/>
        </w:rPr>
        <w:t>（二）许可</w:t>
      </w:r>
    </w:p>
    <w:p>
      <w:pPr>
        <w:rPr>
          <w:kern w:val="36"/>
          <w:szCs w:val="32"/>
        </w:rPr>
      </w:pPr>
      <w:r>
        <w:rPr>
          <w:rFonts w:hint="eastAsia"/>
          <w:kern w:val="36"/>
          <w:szCs w:val="32"/>
        </w:rPr>
        <w:t xml:space="preserve">    1．食品生产企业的生产类别符合此次告知承诺试点类别要求，且申请材料齐全、符合法定形式的，受理后即制发《食品生产许可证》。</w:t>
      </w:r>
    </w:p>
    <w:p>
      <w:pPr>
        <w:rPr>
          <w:kern w:val="36"/>
          <w:szCs w:val="32"/>
        </w:rPr>
      </w:pPr>
      <w:r>
        <w:rPr>
          <w:rFonts w:hint="eastAsia"/>
          <w:kern w:val="36"/>
          <w:szCs w:val="32"/>
        </w:rPr>
        <w:t xml:space="preserve">    2．对不符合发证条件的，应当场作出不予许可决定，书面告知申请人并说明不予许可理由。</w:t>
      </w:r>
    </w:p>
    <w:p>
      <w:pPr>
        <w:rPr>
          <w:kern w:val="36"/>
          <w:szCs w:val="32"/>
        </w:rPr>
      </w:pPr>
      <w:r>
        <w:rPr>
          <w:rFonts w:hint="eastAsia"/>
          <w:kern w:val="36"/>
          <w:szCs w:val="32"/>
        </w:rPr>
        <w:t xml:space="preserve">    3．食品生产企业生产多个食品类别的，其中一个类别不在告知承诺试点类别范围内，不实行告知承诺。</w:t>
      </w:r>
    </w:p>
    <w:p>
      <w:pPr>
        <w:rPr>
          <w:rFonts w:eastAsia="方正黑体_GBK"/>
          <w:kern w:val="36"/>
          <w:szCs w:val="32"/>
        </w:rPr>
      </w:pPr>
      <w:r>
        <w:rPr>
          <w:rFonts w:hint="eastAsia"/>
          <w:szCs w:val="32"/>
        </w:rPr>
        <w:t>　</w:t>
      </w:r>
      <w:r>
        <w:rPr>
          <w:rFonts w:hint="eastAsia" w:eastAsia="方正黑体_GBK"/>
          <w:szCs w:val="32"/>
        </w:rPr>
        <w:t>　</w:t>
      </w:r>
      <w:r>
        <w:rPr>
          <w:rFonts w:hint="eastAsia" w:eastAsia="方正黑体_GBK"/>
          <w:kern w:val="36"/>
          <w:szCs w:val="32"/>
        </w:rPr>
        <w:t>三、加强事中事后监管</w:t>
      </w:r>
    </w:p>
    <w:p>
      <w:pPr>
        <w:rPr>
          <w:rFonts w:eastAsia="方正楷体_GBK"/>
          <w:kern w:val="36"/>
          <w:szCs w:val="32"/>
        </w:rPr>
      </w:pPr>
      <w:r>
        <w:rPr>
          <w:rFonts w:hint="eastAsia" w:eastAsia="方正楷体_GBK"/>
          <w:szCs w:val="32"/>
        </w:rPr>
        <w:t xml:space="preserve">   </w:t>
      </w:r>
      <w:r>
        <w:rPr>
          <w:rFonts w:hint="eastAsia"/>
          <w:kern w:val="36"/>
          <w:szCs w:val="32"/>
        </w:rPr>
        <w:t xml:space="preserve"> </w:t>
      </w:r>
      <w:r>
        <w:rPr>
          <w:rFonts w:hint="eastAsia" w:eastAsia="方正楷体_GBK"/>
          <w:kern w:val="36"/>
          <w:szCs w:val="32"/>
        </w:rPr>
        <w:t>（一）证后检查</w:t>
      </w:r>
    </w:p>
    <w:p>
      <w:pPr>
        <w:rPr>
          <w:kern w:val="36"/>
          <w:szCs w:val="32"/>
        </w:rPr>
      </w:pPr>
      <w:r>
        <w:rPr>
          <w:rFonts w:hint="eastAsia"/>
          <w:szCs w:val="32"/>
        </w:rPr>
        <w:t>　　</w:t>
      </w:r>
      <w:r>
        <w:rPr>
          <w:rFonts w:hint="eastAsia"/>
          <w:kern w:val="36"/>
          <w:szCs w:val="32"/>
        </w:rPr>
        <w:t>通过告知承诺获得食品生产许可证的企业，各区县局应当自发证之日起20个工作日内开展证后监督检查（疫情期间检查时间顺延）。证后监督检查应当由辖区负责食品生产监管的科室组织实施，根据监管工作需要，可安排相关专业技术人员参加检查。</w:t>
      </w:r>
    </w:p>
    <w:p>
      <w:pPr>
        <w:ind w:firstLine="630"/>
        <w:rPr>
          <w:kern w:val="36"/>
          <w:szCs w:val="32"/>
        </w:rPr>
      </w:pPr>
      <w:r>
        <w:rPr>
          <w:rFonts w:hint="eastAsia"/>
          <w:kern w:val="36"/>
          <w:szCs w:val="32"/>
        </w:rPr>
        <w:t>对于新办证或食品生产条件发生变化的变更或延续，应根据《食品生产许可管理办法》《食品生产许可审查通则》和有关细则的要求，对照《低风险食品告知承诺监督检查评分记录表》（见附件2）对企业开展证后监督检查；对于变更法定代表人、地址名称，有效期届满延续等生产条件未发生变化的变更或延续，应按相关规定对照《食品生产监督检查要点表》对企业开展证后监督检查。</w:t>
      </w:r>
    </w:p>
    <w:p>
      <w:pPr>
        <w:ind w:firstLine="630"/>
        <w:rPr>
          <w:szCs w:val="32"/>
        </w:rPr>
      </w:pPr>
      <w:r>
        <w:rPr>
          <w:rFonts w:hint="eastAsia"/>
          <w:kern w:val="36"/>
          <w:szCs w:val="32"/>
        </w:rPr>
        <w:t>检查的内容重点是企业承诺事项与实际情况是否一致。检查发现食品生产企业存在厂房设施设备、功能区间布局、工艺设备布局等与承诺不符且严重影响食品安全的，各区县局应依法撤销其行政许可并予以处罚。</w:t>
      </w:r>
    </w:p>
    <w:p>
      <w:pPr>
        <w:rPr>
          <w:rFonts w:eastAsia="方正楷体_GBK"/>
          <w:kern w:val="36"/>
          <w:szCs w:val="32"/>
        </w:rPr>
      </w:pPr>
      <w:r>
        <w:rPr>
          <w:rFonts w:hint="eastAsia"/>
          <w:szCs w:val="32"/>
        </w:rPr>
        <w:t xml:space="preserve">   </w:t>
      </w:r>
      <w:r>
        <w:rPr>
          <w:rFonts w:hint="eastAsia" w:eastAsia="方正楷体_GBK"/>
          <w:szCs w:val="32"/>
        </w:rPr>
        <w:t xml:space="preserve"> </w:t>
      </w:r>
      <w:r>
        <w:rPr>
          <w:rFonts w:hint="eastAsia" w:eastAsia="方正楷体_GBK"/>
          <w:kern w:val="36"/>
          <w:szCs w:val="32"/>
        </w:rPr>
        <w:t>（二）信息报送</w:t>
      </w:r>
    </w:p>
    <w:p>
      <w:pPr>
        <w:rPr>
          <w:kern w:val="36"/>
          <w:szCs w:val="32"/>
        </w:rPr>
      </w:pPr>
      <w:r>
        <w:rPr>
          <w:rFonts w:hint="eastAsia"/>
          <w:szCs w:val="32"/>
        </w:rPr>
        <w:t xml:space="preserve">    </w:t>
      </w:r>
      <w:r>
        <w:rPr>
          <w:rFonts w:hint="eastAsia"/>
          <w:kern w:val="36"/>
          <w:szCs w:val="32"/>
        </w:rPr>
        <w:t>各区县局应强化工作衔接，注册许可科在《食品生产许可证》发放后3个工作日内，将相关许可信息传至负责食品生产监管的科室。</w:t>
      </w:r>
    </w:p>
    <w:p>
      <w:pPr>
        <w:rPr>
          <w:rFonts w:eastAsia="方正黑体_GBK"/>
          <w:kern w:val="36"/>
          <w:szCs w:val="32"/>
        </w:rPr>
      </w:pPr>
      <w:r>
        <w:rPr>
          <w:rFonts w:hint="eastAsia" w:eastAsia="方正黑体_GBK"/>
          <w:kern w:val="36"/>
          <w:szCs w:val="32"/>
        </w:rPr>
        <w:t>　　四、工作要求</w:t>
      </w:r>
    </w:p>
    <w:p>
      <w:pPr>
        <w:rPr>
          <w:kern w:val="36"/>
          <w:szCs w:val="32"/>
        </w:rPr>
      </w:pPr>
      <w:r>
        <w:rPr>
          <w:rFonts w:hint="eastAsia"/>
          <w:szCs w:val="32"/>
        </w:rPr>
        <w:t>　　</w:t>
      </w:r>
      <w:r>
        <w:rPr>
          <w:rFonts w:hint="eastAsia"/>
          <w:kern w:val="36"/>
          <w:szCs w:val="32"/>
        </w:rPr>
        <w:t>（一）统一思想认识，加强贯彻落实。各区县局要统一认识，精心组织，做好政策宣传解读工作，在加强疫情科学防控的基础上，积极有效的推进食品生产许可告知承诺制。</w:t>
      </w:r>
    </w:p>
    <w:p>
      <w:pPr>
        <w:rPr>
          <w:kern w:val="36"/>
          <w:szCs w:val="32"/>
        </w:rPr>
      </w:pPr>
      <w:r>
        <w:rPr>
          <w:rFonts w:hint="eastAsia"/>
          <w:kern w:val="36"/>
          <w:szCs w:val="32"/>
        </w:rPr>
        <w:t>　　（二）落实主体责任，加强日常监管。各区县局要切实加强许可与监管工作的衔接，履行监管责任，强化监管措施，督促企业落实食品安全主体责任，切实保障生产环节食品质量安全。</w:t>
      </w:r>
    </w:p>
    <w:p>
      <w:pPr>
        <w:rPr>
          <w:kern w:val="36"/>
          <w:szCs w:val="32"/>
        </w:rPr>
      </w:pPr>
      <w:r>
        <w:rPr>
          <w:rFonts w:hint="eastAsia"/>
          <w:kern w:val="36"/>
          <w:szCs w:val="32"/>
        </w:rPr>
        <w:t>　　（三）总结经验做法，提升服务效能。各区县局在实行告知承诺的过程中如遇到问题，应及时与市局沟通、协调解决，要总结试点过程中创造的好经验、好做法，不断提高审批效率、提升服务效能。对试点工作如有意见和建议，及时向市局反馈。</w:t>
      </w:r>
    </w:p>
    <w:p>
      <w:pPr>
        <w:rPr>
          <w:kern w:val="36"/>
          <w:szCs w:val="32"/>
        </w:rPr>
      </w:pPr>
      <w:r>
        <w:rPr>
          <w:rFonts w:hint="eastAsia"/>
          <w:kern w:val="36"/>
          <w:szCs w:val="32"/>
        </w:rPr>
        <w:t xml:space="preserve">   各区县局应及时将告知承诺的试点情况（包括试点企业数，品种类别，审批发证时效，“先证后查”相关情况等）上报市局。(联系人：食品生产处张瑜，联系电话：023-67209913，报送邮箱：sig_zhangyu@oa.gov）</w:t>
      </w:r>
    </w:p>
    <w:p>
      <w:pPr>
        <w:rPr>
          <w:kern w:val="36"/>
          <w:szCs w:val="32"/>
        </w:rPr>
      </w:pPr>
    </w:p>
    <w:p>
      <w:pPr>
        <w:rPr>
          <w:kern w:val="36"/>
          <w:szCs w:val="32"/>
        </w:rPr>
      </w:pPr>
      <w:r>
        <w:rPr>
          <w:rFonts w:hint="eastAsia"/>
          <w:kern w:val="36"/>
          <w:szCs w:val="32"/>
        </w:rPr>
        <w:t>　　附件：1．重庆市低风险食品生产许可行政审批告知承诺书</w:t>
      </w:r>
    </w:p>
    <w:p>
      <w:pPr>
        <w:rPr>
          <w:kern w:val="36"/>
          <w:szCs w:val="32"/>
        </w:rPr>
      </w:pPr>
      <w:r>
        <w:rPr>
          <w:rFonts w:hint="eastAsia"/>
          <w:kern w:val="36"/>
          <w:szCs w:val="32"/>
        </w:rPr>
        <w:t xml:space="preserve">      　　2．低风险食品告知承诺监督检查评分记录表</w:t>
      </w:r>
    </w:p>
    <w:p>
      <w:pPr>
        <w:rPr>
          <w:kern w:val="36"/>
          <w:szCs w:val="32"/>
        </w:rPr>
      </w:pPr>
    </w:p>
    <w:p>
      <w:pPr>
        <w:ind w:right="641" w:rightChars="203"/>
        <w:jc w:val="right"/>
        <w:rPr>
          <w:kern w:val="36"/>
          <w:szCs w:val="32"/>
        </w:rPr>
      </w:pPr>
      <w:r>
        <w:rPr>
          <w:rFonts w:hint="eastAsia"/>
          <w:kern w:val="36"/>
          <w:szCs w:val="32"/>
        </w:rPr>
        <w:t>　　                     重庆市市场监督管理局办公室</w:t>
      </w:r>
    </w:p>
    <w:p>
      <w:pPr>
        <w:rPr>
          <w:kern w:val="36"/>
          <w:szCs w:val="32"/>
        </w:rPr>
      </w:pPr>
      <w:r>
        <w:rPr>
          <w:rFonts w:hint="eastAsia"/>
          <w:kern w:val="36"/>
          <w:szCs w:val="32"/>
        </w:rPr>
        <w:t>　　                           2020年3月5日</w:t>
      </w:r>
    </w:p>
    <w:p>
      <w:pPr>
        <w:pStyle w:val="6"/>
        <w:widowControl w:val="0"/>
        <w:spacing w:before="0" w:beforeAutospacing="0" w:after="0" w:afterAutospacing="0"/>
        <w:ind w:firstLine="632" w:firstLineChars="200"/>
        <w:jc w:val="both"/>
        <w:rPr>
          <w:rFonts w:ascii="Times New Roman" w:hAnsi="Times New Roman" w:eastAsia="方正仿宋_GBK"/>
          <w:sz w:val="32"/>
          <w:szCs w:val="32"/>
        </w:rPr>
      </w:pPr>
      <w:r>
        <w:rPr>
          <w:rFonts w:ascii="Times New Roman" w:hAnsi="Times New Roman" w:eastAsia="方正仿宋_GBK"/>
          <w:sz w:val="32"/>
          <w:szCs w:val="32"/>
        </w:rPr>
        <w:t>（信息公开属性：主动公开）</w:t>
      </w:r>
    </w:p>
    <w:p>
      <w:pPr>
        <w:rPr>
          <w:rFonts w:eastAsia="方正黑体_GBK"/>
          <w:kern w:val="36"/>
          <w:szCs w:val="32"/>
        </w:rPr>
      </w:pPr>
      <w:r>
        <w:rPr>
          <w:rFonts w:hint="eastAsia" w:eastAsia="方正黑体_GBK"/>
          <w:kern w:val="36"/>
          <w:szCs w:val="32"/>
        </w:rPr>
        <w:t>附件1</w:t>
      </w:r>
    </w:p>
    <w:p>
      <w:pPr>
        <w:rPr>
          <w:rFonts w:eastAsia="方正黑体_GBK"/>
          <w:kern w:val="36"/>
          <w:szCs w:val="32"/>
        </w:rPr>
      </w:pPr>
    </w:p>
    <w:p>
      <w:pPr>
        <w:adjustRightInd w:val="0"/>
        <w:snapToGrid w:val="0"/>
        <w:spacing w:line="720" w:lineRule="atLeast"/>
        <w:jc w:val="center"/>
        <w:rPr>
          <w:rFonts w:eastAsia="方正小标宋_GBK"/>
          <w:bCs/>
          <w:sz w:val="44"/>
          <w:szCs w:val="44"/>
        </w:rPr>
      </w:pPr>
      <w:r>
        <w:rPr>
          <w:rFonts w:hint="eastAsia" w:eastAsia="方正小标宋_GBK"/>
          <w:sz w:val="44"/>
          <w:szCs w:val="44"/>
        </w:rPr>
        <w:t>重庆市低风险</w:t>
      </w:r>
      <w:r>
        <w:rPr>
          <w:rFonts w:hint="eastAsia" w:eastAsia="方正小标宋_GBK"/>
          <w:bCs/>
          <w:sz w:val="44"/>
          <w:szCs w:val="44"/>
        </w:rPr>
        <w:t>食品生产许可</w:t>
      </w:r>
    </w:p>
    <w:p>
      <w:pPr>
        <w:adjustRightInd w:val="0"/>
        <w:snapToGrid w:val="0"/>
        <w:spacing w:line="720" w:lineRule="atLeast"/>
        <w:jc w:val="center"/>
        <w:rPr>
          <w:rFonts w:eastAsia="方正小标宋_GBK"/>
          <w:bCs/>
          <w:sz w:val="44"/>
          <w:szCs w:val="44"/>
        </w:rPr>
      </w:pPr>
      <w:r>
        <w:rPr>
          <w:rFonts w:hint="eastAsia" w:eastAsia="方正小标宋_GBK"/>
          <w:bCs/>
          <w:sz w:val="44"/>
          <w:szCs w:val="44"/>
        </w:rPr>
        <w:t>行政审批告知承诺书</w:t>
      </w:r>
    </w:p>
    <w:p>
      <w:pPr>
        <w:rPr>
          <w:bCs/>
          <w:szCs w:val="32"/>
        </w:rPr>
      </w:pPr>
    </w:p>
    <w:p>
      <w:pPr>
        <w:ind w:firstLine="632" w:firstLineChars="200"/>
        <w:rPr>
          <w:kern w:val="36"/>
          <w:szCs w:val="32"/>
        </w:rPr>
      </w:pPr>
      <w:r>
        <w:rPr>
          <w:rFonts w:hint="eastAsia"/>
          <w:kern w:val="36"/>
          <w:szCs w:val="32"/>
        </w:rPr>
        <w:t>申请企业就申请审批的行政审批事项，现作出下列承诺：</w:t>
      </w:r>
    </w:p>
    <w:p>
      <w:pPr>
        <w:ind w:firstLine="632" w:firstLineChars="200"/>
        <w:rPr>
          <w:kern w:val="36"/>
          <w:szCs w:val="32"/>
        </w:rPr>
      </w:pPr>
      <w:r>
        <w:rPr>
          <w:rFonts w:hint="eastAsia"/>
          <w:kern w:val="36"/>
          <w:szCs w:val="32"/>
        </w:rPr>
        <w:t>（一）所填写的基本信息真实、准确；</w:t>
      </w:r>
    </w:p>
    <w:p>
      <w:pPr>
        <w:ind w:firstLine="632" w:firstLineChars="200"/>
        <w:rPr>
          <w:kern w:val="36"/>
          <w:szCs w:val="32"/>
        </w:rPr>
      </w:pPr>
      <w:r>
        <w:rPr>
          <w:rFonts w:hint="eastAsia"/>
          <w:kern w:val="36"/>
          <w:szCs w:val="32"/>
        </w:rPr>
        <w:t>（二）已经知晓行政审批机关告知的全部内容；</w:t>
      </w:r>
    </w:p>
    <w:p>
      <w:pPr>
        <w:ind w:firstLine="632" w:firstLineChars="200"/>
        <w:rPr>
          <w:kern w:val="36"/>
          <w:szCs w:val="32"/>
        </w:rPr>
      </w:pPr>
      <w:r>
        <w:rPr>
          <w:rFonts w:hint="eastAsia"/>
          <w:kern w:val="36"/>
          <w:szCs w:val="32"/>
        </w:rPr>
        <w:t>（三）能满足行政审批机关告知的条件、标准和要求；</w:t>
      </w:r>
    </w:p>
    <w:p>
      <w:pPr>
        <w:ind w:firstLine="632" w:firstLineChars="200"/>
        <w:rPr>
          <w:kern w:val="36"/>
          <w:szCs w:val="32"/>
        </w:rPr>
      </w:pPr>
      <w:r>
        <w:rPr>
          <w:rFonts w:hint="eastAsia"/>
          <w:kern w:val="36"/>
          <w:szCs w:val="32"/>
        </w:rPr>
        <w:t>（四）未达到法定条件前，不从事相关食品生产经营活动；</w:t>
      </w:r>
    </w:p>
    <w:p>
      <w:pPr>
        <w:ind w:firstLine="632" w:firstLineChars="200"/>
        <w:rPr>
          <w:kern w:val="36"/>
          <w:szCs w:val="32"/>
        </w:rPr>
      </w:pPr>
      <w:r>
        <w:rPr>
          <w:rFonts w:hint="eastAsia"/>
          <w:kern w:val="36"/>
          <w:szCs w:val="32"/>
        </w:rPr>
        <w:t>（五）上述陈述是申请人真实意思的表示；</w:t>
      </w:r>
    </w:p>
    <w:p>
      <w:pPr>
        <w:ind w:firstLine="632" w:firstLineChars="200"/>
        <w:rPr>
          <w:kern w:val="36"/>
          <w:szCs w:val="32"/>
        </w:rPr>
      </w:pPr>
      <w:r>
        <w:rPr>
          <w:rFonts w:hint="eastAsia"/>
          <w:kern w:val="36"/>
          <w:szCs w:val="32"/>
        </w:rPr>
        <w:t>（六）若违反承诺或者作出不实承诺的，愿意承担相应法律责任。</w:t>
      </w:r>
    </w:p>
    <w:p>
      <w:pPr>
        <w:rPr>
          <w:kern w:val="36"/>
          <w:szCs w:val="32"/>
        </w:rPr>
      </w:pPr>
    </w:p>
    <w:p>
      <w:pPr>
        <w:rPr>
          <w:kern w:val="36"/>
          <w:szCs w:val="32"/>
        </w:rPr>
      </w:pPr>
      <w:r>
        <w:rPr>
          <w:rFonts w:hint="eastAsia"/>
          <w:kern w:val="36"/>
          <w:szCs w:val="32"/>
        </w:rPr>
        <w:t xml:space="preserve">                 申请人（法定代表人或负责人）：</w:t>
      </w:r>
    </w:p>
    <w:p>
      <w:pPr>
        <w:rPr>
          <w:kern w:val="36"/>
          <w:szCs w:val="32"/>
        </w:rPr>
      </w:pPr>
      <w:r>
        <w:rPr>
          <w:rFonts w:hint="eastAsia"/>
          <w:kern w:val="36"/>
          <w:szCs w:val="32"/>
        </w:rPr>
        <w:t xml:space="preserve">                        （签字盖章）</w:t>
      </w:r>
    </w:p>
    <w:p>
      <w:pPr>
        <w:rPr>
          <w:kern w:val="36"/>
          <w:szCs w:val="32"/>
        </w:rPr>
      </w:pPr>
      <w:r>
        <w:rPr>
          <w:rFonts w:hint="eastAsia"/>
          <w:kern w:val="36"/>
          <w:szCs w:val="32"/>
        </w:rPr>
        <w:t xml:space="preserve">                                           年  月  日</w:t>
      </w:r>
    </w:p>
    <w:p>
      <w:pPr>
        <w:rPr>
          <w:kern w:val="36"/>
          <w:szCs w:val="32"/>
        </w:rPr>
      </w:pPr>
    </w:p>
    <w:p>
      <w:pPr>
        <w:rPr>
          <w:kern w:val="36"/>
          <w:szCs w:val="32"/>
        </w:rPr>
      </w:pPr>
    </w:p>
    <w:p>
      <w:pPr>
        <w:ind w:firstLine="632" w:firstLineChars="200"/>
        <w:rPr>
          <w:kern w:val="36"/>
          <w:szCs w:val="32"/>
        </w:rPr>
      </w:pPr>
      <w:r>
        <w:rPr>
          <w:rFonts w:hint="eastAsia"/>
          <w:kern w:val="36"/>
          <w:szCs w:val="32"/>
        </w:rPr>
        <w:t>附：行政审批机关的告知</w:t>
      </w:r>
    </w:p>
    <w:p>
      <w:pPr>
        <w:rPr>
          <w:kern w:val="36"/>
          <w:szCs w:val="32"/>
        </w:rPr>
      </w:pPr>
    </w:p>
    <w:p>
      <w:pPr>
        <w:jc w:val="left"/>
        <w:rPr>
          <w:rFonts w:eastAsia="方正黑体_GBK" w:cs="宋体"/>
          <w:kern w:val="0"/>
          <w:szCs w:val="32"/>
        </w:rPr>
      </w:pPr>
      <w:r>
        <w:rPr>
          <w:rFonts w:eastAsia="方正黑体_GBK" w:cs="宋体"/>
          <w:kern w:val="0"/>
          <w:szCs w:val="32"/>
        </w:rPr>
        <w:br w:type="page"/>
      </w:r>
    </w:p>
    <w:p>
      <w:pPr>
        <w:rPr>
          <w:rFonts w:eastAsia="方正黑体_GBK"/>
          <w:kern w:val="36"/>
          <w:szCs w:val="32"/>
        </w:rPr>
      </w:pPr>
      <w:r>
        <w:rPr>
          <w:rFonts w:hint="eastAsia" w:eastAsia="方正黑体_GBK"/>
          <w:kern w:val="36"/>
          <w:szCs w:val="32"/>
        </w:rPr>
        <w:t xml:space="preserve">附 </w:t>
      </w:r>
    </w:p>
    <w:p>
      <w:pPr>
        <w:rPr>
          <w:rFonts w:eastAsia="方正黑体_GBK"/>
          <w:kern w:val="36"/>
          <w:szCs w:val="32"/>
        </w:rPr>
      </w:pPr>
    </w:p>
    <w:p>
      <w:pPr>
        <w:adjustRightInd w:val="0"/>
        <w:snapToGrid w:val="0"/>
        <w:spacing w:line="720" w:lineRule="atLeast"/>
        <w:jc w:val="center"/>
        <w:rPr>
          <w:rFonts w:cs="宋体"/>
          <w:kern w:val="0"/>
          <w:szCs w:val="32"/>
        </w:rPr>
      </w:pPr>
      <w:r>
        <w:rPr>
          <w:rFonts w:hint="eastAsia" w:eastAsia="方正小标宋_GBK"/>
          <w:sz w:val="44"/>
          <w:szCs w:val="44"/>
        </w:rPr>
        <w:t>行政审批机关的告知</w:t>
      </w:r>
    </w:p>
    <w:p>
      <w:pPr>
        <w:spacing w:line="550" w:lineRule="exact"/>
        <w:ind w:firstLine="632" w:firstLineChars="200"/>
        <w:rPr>
          <w:rFonts w:cs="宋体"/>
          <w:kern w:val="0"/>
          <w:szCs w:val="32"/>
        </w:rPr>
      </w:pPr>
    </w:p>
    <w:p>
      <w:pPr>
        <w:spacing w:line="550" w:lineRule="exact"/>
        <w:ind w:firstLine="632" w:firstLineChars="200"/>
        <w:rPr>
          <w:rFonts w:cs="宋体"/>
          <w:kern w:val="0"/>
          <w:szCs w:val="32"/>
        </w:rPr>
      </w:pPr>
      <w:r>
        <w:rPr>
          <w:rFonts w:hint="eastAsia" w:cs="宋体"/>
          <w:kern w:val="0"/>
          <w:szCs w:val="32"/>
        </w:rPr>
        <w:t>本</w:t>
      </w:r>
      <w:r>
        <w:rPr>
          <w:rFonts w:hint="eastAsia"/>
          <w:kern w:val="36"/>
          <w:szCs w:val="32"/>
        </w:rPr>
        <w:t>行政审批机关就低风险食品（仅限小麦粉、大米、挂面、焙炒咖啡）生产许可行政审批事项告知如下</w:t>
      </w:r>
      <w:r>
        <w:rPr>
          <w:rFonts w:hint="eastAsia" w:cs="宋体"/>
          <w:kern w:val="0"/>
          <w:szCs w:val="32"/>
        </w:rPr>
        <w:t>：</w:t>
      </w:r>
    </w:p>
    <w:p>
      <w:pPr>
        <w:spacing w:line="550" w:lineRule="exact"/>
        <w:rPr>
          <w:rFonts w:eastAsia="方正黑体_GBK"/>
          <w:kern w:val="36"/>
          <w:szCs w:val="32"/>
        </w:rPr>
      </w:pPr>
      <w:r>
        <w:rPr>
          <w:rFonts w:hint="eastAsia" w:eastAsia="方正黑体_GBK"/>
          <w:kern w:val="36"/>
          <w:szCs w:val="32"/>
        </w:rPr>
        <w:t xml:space="preserve">    一、审批依据</w:t>
      </w:r>
    </w:p>
    <w:p>
      <w:pPr>
        <w:spacing w:line="550" w:lineRule="exact"/>
        <w:ind w:firstLine="632" w:firstLineChars="200"/>
        <w:rPr>
          <w:rFonts w:cs="宋体"/>
          <w:kern w:val="0"/>
          <w:szCs w:val="32"/>
        </w:rPr>
      </w:pPr>
      <w:r>
        <w:rPr>
          <w:rFonts w:hint="eastAsia" w:cs="宋体"/>
          <w:kern w:val="0"/>
          <w:szCs w:val="32"/>
        </w:rPr>
        <w:t>本行政审批事项的依据为：</w:t>
      </w:r>
    </w:p>
    <w:p>
      <w:pPr>
        <w:spacing w:line="550" w:lineRule="exact"/>
        <w:ind w:firstLine="632" w:firstLineChars="200"/>
        <w:rPr>
          <w:rFonts w:cs="宋体"/>
          <w:kern w:val="0"/>
          <w:szCs w:val="32"/>
        </w:rPr>
      </w:pPr>
      <w:r>
        <w:rPr>
          <w:rFonts w:hint="eastAsia" w:cs="宋体"/>
          <w:kern w:val="0"/>
          <w:szCs w:val="32"/>
        </w:rPr>
        <w:t>1．《中华人民共和国食品安全法》第三十五条。</w:t>
      </w:r>
    </w:p>
    <w:p>
      <w:pPr>
        <w:spacing w:line="550" w:lineRule="exact"/>
        <w:ind w:firstLine="632" w:firstLineChars="200"/>
        <w:rPr>
          <w:rFonts w:cs="宋体"/>
          <w:kern w:val="0"/>
          <w:szCs w:val="32"/>
        </w:rPr>
      </w:pPr>
      <w:r>
        <w:rPr>
          <w:rFonts w:hint="eastAsia" w:cs="宋体"/>
          <w:kern w:val="0"/>
          <w:szCs w:val="32"/>
        </w:rPr>
        <w:t>2．《食品生产许可管理办法》</w:t>
      </w:r>
    </w:p>
    <w:p>
      <w:pPr>
        <w:spacing w:line="550" w:lineRule="exact"/>
        <w:ind w:firstLine="632" w:firstLineChars="200"/>
        <w:rPr>
          <w:rFonts w:cs="宋体"/>
          <w:kern w:val="0"/>
          <w:szCs w:val="32"/>
        </w:rPr>
      </w:pPr>
      <w:r>
        <w:rPr>
          <w:rFonts w:hint="eastAsia" w:cs="宋体"/>
          <w:kern w:val="0"/>
          <w:szCs w:val="32"/>
        </w:rPr>
        <w:t>3．《食品生产许可审查通则》及相应食品审查细则。</w:t>
      </w:r>
    </w:p>
    <w:p>
      <w:pPr>
        <w:spacing w:line="550" w:lineRule="exact"/>
        <w:rPr>
          <w:rFonts w:eastAsia="方正黑体_GBK"/>
          <w:kern w:val="36"/>
          <w:szCs w:val="32"/>
        </w:rPr>
      </w:pPr>
      <w:r>
        <w:rPr>
          <w:rFonts w:hint="eastAsia" w:eastAsia="方正黑体_GBK"/>
          <w:kern w:val="36"/>
          <w:szCs w:val="32"/>
        </w:rPr>
        <w:t xml:space="preserve">    二、法定条件</w:t>
      </w:r>
    </w:p>
    <w:p>
      <w:pPr>
        <w:spacing w:line="550" w:lineRule="exact"/>
        <w:ind w:firstLine="632" w:firstLineChars="200"/>
        <w:rPr>
          <w:rFonts w:cs="宋体"/>
          <w:kern w:val="0"/>
          <w:szCs w:val="32"/>
        </w:rPr>
      </w:pPr>
      <w:r>
        <w:rPr>
          <w:rFonts w:hint="eastAsia" w:cs="宋体"/>
          <w:kern w:val="0"/>
          <w:szCs w:val="32"/>
        </w:rPr>
        <w:t>申请生产小麦粉、大米、挂面、焙炒咖啡的企业应当具备以下条件：</w:t>
      </w:r>
    </w:p>
    <w:p>
      <w:pPr>
        <w:spacing w:line="550" w:lineRule="exact"/>
        <w:ind w:firstLine="632" w:firstLineChars="200"/>
        <w:rPr>
          <w:rFonts w:cs="宋体"/>
          <w:kern w:val="0"/>
          <w:szCs w:val="32"/>
        </w:rPr>
      </w:pPr>
      <w:r>
        <w:rPr>
          <w:rFonts w:hint="eastAsia" w:cs="宋体"/>
          <w:kern w:val="0"/>
          <w:szCs w:val="32"/>
        </w:rPr>
        <w:t>1．有营业执照。营业执照的经营范围应当覆盖所申请生产或加工的食品或包含相应的行业表述；</w:t>
      </w:r>
    </w:p>
    <w:p>
      <w:pPr>
        <w:spacing w:line="550" w:lineRule="exact"/>
        <w:ind w:firstLine="632" w:firstLineChars="200"/>
        <w:rPr>
          <w:rFonts w:cs="宋体"/>
          <w:kern w:val="0"/>
          <w:szCs w:val="32"/>
        </w:rPr>
      </w:pPr>
      <w:r>
        <w:rPr>
          <w:rFonts w:hint="eastAsia" w:cs="宋体"/>
          <w:kern w:val="0"/>
          <w:szCs w:val="32"/>
        </w:rPr>
        <w:t>2．</w:t>
      </w:r>
      <w:r>
        <w:rPr>
          <w:rFonts w:cs="宋体"/>
          <w:kern w:val="0"/>
          <w:szCs w:val="32"/>
        </w:rPr>
        <w:t>具有与生产经营的食品品种、数量相适应的食品原料处理和食品加工、包装、贮存等场所，保持该场所环境整洁，并与有毒、有害场所以及其他污染源保持规定的距离；</w:t>
      </w:r>
    </w:p>
    <w:p>
      <w:pPr>
        <w:spacing w:line="550" w:lineRule="exact"/>
        <w:ind w:firstLine="632" w:firstLineChars="200"/>
        <w:rPr>
          <w:rFonts w:cs="宋体"/>
          <w:kern w:val="0"/>
          <w:szCs w:val="32"/>
        </w:rPr>
      </w:pPr>
      <w:r>
        <w:rPr>
          <w:rFonts w:hint="eastAsia" w:cs="宋体"/>
          <w:kern w:val="0"/>
          <w:szCs w:val="32"/>
        </w:rPr>
        <w:t>3．</w:t>
      </w:r>
      <w:r>
        <w:rPr>
          <w:rFonts w:cs="宋体"/>
          <w:kern w:val="0"/>
          <w:szCs w:val="32"/>
        </w:rPr>
        <w:t>具有与生产经营的食品品种、数量相适应的生产经营设备或者设施，有相应的消毒、更衣、盥洗、采光、照明、通风、防腐、防尘、防蝇、防鼠、防虫、洗涤以及处理废水、存放垃圾和废弃物的设备或者设施；</w:t>
      </w:r>
    </w:p>
    <w:p>
      <w:pPr>
        <w:spacing w:line="550" w:lineRule="exact"/>
        <w:ind w:firstLine="632" w:firstLineChars="200"/>
        <w:rPr>
          <w:rFonts w:cs="宋体"/>
          <w:kern w:val="0"/>
          <w:szCs w:val="32"/>
        </w:rPr>
      </w:pPr>
      <w:r>
        <w:rPr>
          <w:rFonts w:hint="eastAsia" w:cs="宋体"/>
          <w:kern w:val="0"/>
          <w:szCs w:val="32"/>
        </w:rPr>
        <w:t>4．</w:t>
      </w:r>
      <w:r>
        <w:rPr>
          <w:rFonts w:cs="宋体"/>
          <w:kern w:val="0"/>
          <w:szCs w:val="32"/>
        </w:rPr>
        <w:t>有专职或者兼职的食品安全专业技术人员、食品安全管理人员和保证食品安全的规章制度；</w:t>
      </w:r>
    </w:p>
    <w:p>
      <w:pPr>
        <w:spacing w:line="550" w:lineRule="exact"/>
        <w:ind w:firstLine="632" w:firstLineChars="200"/>
        <w:rPr>
          <w:rFonts w:cs="宋体"/>
          <w:kern w:val="0"/>
          <w:szCs w:val="32"/>
        </w:rPr>
      </w:pPr>
      <w:r>
        <w:rPr>
          <w:rFonts w:hint="eastAsia" w:cs="宋体"/>
          <w:kern w:val="0"/>
          <w:szCs w:val="32"/>
        </w:rPr>
        <w:t>5．</w:t>
      </w:r>
      <w:r>
        <w:rPr>
          <w:rFonts w:cs="宋体"/>
          <w:kern w:val="0"/>
          <w:szCs w:val="32"/>
        </w:rPr>
        <w:t>具有合理的设备布局和工艺流程，防止待加工食品与直接入口食品、原料与成品交叉污染，避免食品接触有毒物、不洁物；</w:t>
      </w:r>
    </w:p>
    <w:p>
      <w:pPr>
        <w:spacing w:line="550" w:lineRule="exact"/>
        <w:ind w:firstLine="632" w:firstLineChars="200"/>
        <w:rPr>
          <w:rFonts w:cs="宋体"/>
          <w:kern w:val="0"/>
          <w:szCs w:val="32"/>
        </w:rPr>
      </w:pPr>
      <w:r>
        <w:rPr>
          <w:rFonts w:hint="eastAsia" w:cs="宋体"/>
          <w:kern w:val="0"/>
          <w:szCs w:val="32"/>
        </w:rPr>
        <w:t>6．</w:t>
      </w:r>
      <w:r>
        <w:rPr>
          <w:rFonts w:cs="宋体"/>
          <w:kern w:val="0"/>
          <w:szCs w:val="32"/>
        </w:rPr>
        <w:t>餐具、饮具和盛放直接入口食品的容器，使用前应当洗净、消毒，炊具、用具用后应当洗净，保持清洁； </w:t>
      </w:r>
    </w:p>
    <w:p>
      <w:pPr>
        <w:spacing w:line="550" w:lineRule="exact"/>
        <w:ind w:firstLine="632" w:firstLineChars="200"/>
        <w:rPr>
          <w:rFonts w:cs="宋体"/>
          <w:kern w:val="0"/>
          <w:szCs w:val="32"/>
        </w:rPr>
      </w:pPr>
      <w:r>
        <w:rPr>
          <w:rFonts w:hint="eastAsia" w:cs="宋体"/>
          <w:kern w:val="0"/>
          <w:szCs w:val="32"/>
        </w:rPr>
        <w:t>7．</w:t>
      </w:r>
      <w:r>
        <w:rPr>
          <w:rFonts w:cs="宋体"/>
          <w:kern w:val="0"/>
          <w:szCs w:val="32"/>
        </w:rPr>
        <w:t>贮存、运输和装卸食品的容器、工具和设备应当安全、无害，保持清洁，防止食品污染，并符合保证食品安全所需的温度、湿度等特殊要求，不得将食品与有毒、有害物品一同贮存、运输；</w:t>
      </w:r>
    </w:p>
    <w:p>
      <w:pPr>
        <w:spacing w:line="550" w:lineRule="exact"/>
        <w:ind w:firstLine="632" w:firstLineChars="200"/>
        <w:rPr>
          <w:rFonts w:cs="宋体"/>
          <w:kern w:val="0"/>
          <w:szCs w:val="32"/>
        </w:rPr>
      </w:pPr>
      <w:r>
        <w:rPr>
          <w:rFonts w:hint="eastAsia" w:cs="宋体"/>
          <w:kern w:val="0"/>
          <w:szCs w:val="32"/>
        </w:rPr>
        <w:t>8．</w:t>
      </w:r>
      <w:r>
        <w:rPr>
          <w:rFonts w:cs="宋体"/>
          <w:kern w:val="0"/>
          <w:szCs w:val="32"/>
        </w:rPr>
        <w:t>直接入口的食品应当使用无毒、清洁的包装材料、餐具、饮具和容器； </w:t>
      </w:r>
    </w:p>
    <w:p>
      <w:pPr>
        <w:spacing w:line="550" w:lineRule="exact"/>
        <w:ind w:firstLine="632" w:firstLineChars="200"/>
        <w:rPr>
          <w:rFonts w:cs="宋体"/>
          <w:kern w:val="0"/>
          <w:szCs w:val="32"/>
        </w:rPr>
      </w:pPr>
      <w:r>
        <w:rPr>
          <w:rFonts w:hint="eastAsia" w:cs="宋体"/>
          <w:kern w:val="0"/>
          <w:szCs w:val="32"/>
        </w:rPr>
        <w:t>9．</w:t>
      </w:r>
      <w:r>
        <w:rPr>
          <w:rFonts w:cs="宋体"/>
          <w:kern w:val="0"/>
          <w:szCs w:val="32"/>
        </w:rPr>
        <w:t>食品生产经营人员应当保持个人卫生，生产经营食品时，应当将手洗净，穿戴清洁的工作衣、帽等；销售无包装的直接入口食品时，应当使用无毒、清洁的容器、售货工具和设备；</w:t>
      </w:r>
    </w:p>
    <w:p>
      <w:pPr>
        <w:spacing w:line="550" w:lineRule="exact"/>
        <w:ind w:firstLine="632" w:firstLineChars="200"/>
        <w:rPr>
          <w:rFonts w:cs="宋体"/>
          <w:kern w:val="0"/>
          <w:szCs w:val="32"/>
        </w:rPr>
      </w:pPr>
      <w:r>
        <w:rPr>
          <w:rFonts w:hint="eastAsia" w:cs="宋体"/>
          <w:kern w:val="0"/>
          <w:szCs w:val="32"/>
        </w:rPr>
        <w:t>10．</w:t>
      </w:r>
      <w:r>
        <w:rPr>
          <w:rFonts w:cs="宋体"/>
          <w:kern w:val="0"/>
          <w:szCs w:val="32"/>
        </w:rPr>
        <w:t>用水应当符合国家规定的生活饮用水卫生标准； </w:t>
      </w:r>
    </w:p>
    <w:p>
      <w:pPr>
        <w:spacing w:line="550" w:lineRule="exact"/>
        <w:ind w:firstLine="632" w:firstLineChars="200"/>
        <w:rPr>
          <w:rFonts w:cs="宋体"/>
          <w:kern w:val="0"/>
          <w:szCs w:val="32"/>
        </w:rPr>
      </w:pPr>
      <w:r>
        <w:rPr>
          <w:rFonts w:hint="eastAsia" w:cs="宋体"/>
          <w:kern w:val="0"/>
          <w:szCs w:val="32"/>
        </w:rPr>
        <w:t>11．</w:t>
      </w:r>
      <w:r>
        <w:rPr>
          <w:rFonts w:cs="宋体"/>
          <w:kern w:val="0"/>
          <w:szCs w:val="32"/>
        </w:rPr>
        <w:t>使用的洗涤剂、消毒剂应当对人体安全、无害；</w:t>
      </w:r>
    </w:p>
    <w:p>
      <w:pPr>
        <w:spacing w:line="550" w:lineRule="exact"/>
        <w:ind w:firstLine="632" w:firstLineChars="200"/>
        <w:rPr>
          <w:rFonts w:cs="宋体"/>
          <w:kern w:val="0"/>
          <w:szCs w:val="32"/>
        </w:rPr>
      </w:pPr>
      <w:r>
        <w:rPr>
          <w:rFonts w:hint="eastAsia" w:cs="宋体"/>
          <w:kern w:val="0"/>
          <w:szCs w:val="32"/>
        </w:rPr>
        <w:t>12．法律、行政法规有其他规定的，还应当符合其规定</w:t>
      </w:r>
      <w:r>
        <w:rPr>
          <w:rFonts w:cs="宋体"/>
          <w:kern w:val="0"/>
          <w:szCs w:val="32"/>
        </w:rPr>
        <w:t>。</w:t>
      </w:r>
    </w:p>
    <w:p>
      <w:pPr>
        <w:spacing w:line="550" w:lineRule="exact"/>
        <w:rPr>
          <w:rFonts w:eastAsia="方正黑体_GBK"/>
          <w:kern w:val="36"/>
          <w:szCs w:val="32"/>
        </w:rPr>
      </w:pPr>
      <w:r>
        <w:rPr>
          <w:rFonts w:hint="eastAsia" w:eastAsia="方正黑体_GBK"/>
          <w:kern w:val="36"/>
          <w:szCs w:val="32"/>
        </w:rPr>
        <w:t xml:space="preserve">    三、其他</w:t>
      </w:r>
    </w:p>
    <w:p>
      <w:pPr>
        <w:spacing w:line="550" w:lineRule="exact"/>
        <w:ind w:firstLine="632" w:firstLineChars="200"/>
        <w:rPr>
          <w:rFonts w:cs="宋体"/>
          <w:kern w:val="0"/>
          <w:szCs w:val="32"/>
        </w:rPr>
      </w:pPr>
      <w:r>
        <w:rPr>
          <w:rFonts w:hint="eastAsia" w:cs="宋体"/>
          <w:kern w:val="0"/>
          <w:szCs w:val="32"/>
        </w:rPr>
        <w:t>1．企业应具有与所申请生产的食品相适应的生产条件和检验手段（具体要求见审查通则及相应食品审查细则）；</w:t>
      </w:r>
    </w:p>
    <w:p>
      <w:pPr>
        <w:spacing w:line="550" w:lineRule="exact"/>
        <w:ind w:firstLine="632" w:firstLineChars="200"/>
        <w:rPr>
          <w:rFonts w:cs="宋体"/>
          <w:kern w:val="0"/>
          <w:szCs w:val="32"/>
        </w:rPr>
      </w:pPr>
      <w:r>
        <w:rPr>
          <w:rFonts w:hint="eastAsia" w:cs="宋体"/>
          <w:kern w:val="0"/>
          <w:szCs w:val="32"/>
        </w:rPr>
        <w:t>2．食品质量安全符合相应食品安全国家标准、行业标准以及保障人体健康的要求（具体要求见审查通则、相应食品审查细则及适用标准）；</w:t>
      </w:r>
    </w:p>
    <w:p>
      <w:pPr>
        <w:spacing w:line="550" w:lineRule="exact"/>
        <w:ind w:firstLine="632" w:firstLineChars="200"/>
        <w:rPr>
          <w:rFonts w:cs="宋体"/>
          <w:kern w:val="0"/>
          <w:szCs w:val="32"/>
        </w:rPr>
      </w:pPr>
      <w:r>
        <w:rPr>
          <w:rFonts w:hint="eastAsia" w:cs="宋体"/>
          <w:kern w:val="0"/>
          <w:szCs w:val="32"/>
        </w:rPr>
        <w:t>3．符合国家产业政策的规定，不存在国家明令淘汰和禁止投资建设的落后工艺、高耗能、污染环境、浪费资源的情况（具体要求见国家最新产业规定）；</w:t>
      </w:r>
    </w:p>
    <w:p>
      <w:pPr>
        <w:spacing w:line="550" w:lineRule="exact"/>
        <w:ind w:firstLine="632" w:firstLineChars="200"/>
        <w:rPr>
          <w:rFonts w:cs="宋体"/>
          <w:kern w:val="0"/>
          <w:szCs w:val="32"/>
        </w:rPr>
      </w:pPr>
      <w:r>
        <w:rPr>
          <w:rFonts w:hint="eastAsia" w:cs="宋体"/>
          <w:kern w:val="0"/>
          <w:szCs w:val="32"/>
        </w:rPr>
        <w:t>4．未达到法定条件前,不从事相关食品生产经营活动。</w:t>
      </w:r>
    </w:p>
    <w:p>
      <w:pPr>
        <w:spacing w:line="550" w:lineRule="exact"/>
        <w:rPr>
          <w:rFonts w:eastAsia="方正黑体_GBK"/>
          <w:kern w:val="36"/>
          <w:szCs w:val="32"/>
        </w:rPr>
      </w:pPr>
      <w:r>
        <w:rPr>
          <w:rFonts w:hint="eastAsia" w:eastAsia="方正黑体_GBK"/>
          <w:kern w:val="36"/>
          <w:szCs w:val="32"/>
        </w:rPr>
        <w:t xml:space="preserve">    四、应当提交的材料</w:t>
      </w:r>
    </w:p>
    <w:p>
      <w:pPr>
        <w:spacing w:line="550" w:lineRule="exact"/>
        <w:ind w:firstLine="632" w:firstLineChars="200"/>
        <w:rPr>
          <w:rFonts w:cs="宋体"/>
          <w:kern w:val="0"/>
          <w:szCs w:val="32"/>
        </w:rPr>
      </w:pPr>
      <w:r>
        <w:rPr>
          <w:rFonts w:hint="eastAsia" w:cs="宋体"/>
          <w:kern w:val="0"/>
          <w:szCs w:val="32"/>
        </w:rPr>
        <w:t>根据审批依据和法定条件，本行政审批事项获得批准,申请人应当提交下列材料：</w:t>
      </w:r>
    </w:p>
    <w:p>
      <w:pPr>
        <w:spacing w:line="550" w:lineRule="exact"/>
        <w:ind w:firstLine="632" w:firstLineChars="200"/>
        <w:rPr>
          <w:rFonts w:cs="宋体"/>
          <w:kern w:val="0"/>
          <w:szCs w:val="32"/>
        </w:rPr>
      </w:pPr>
      <w:r>
        <w:rPr>
          <w:rFonts w:hint="eastAsia" w:cs="宋体"/>
          <w:kern w:val="0"/>
          <w:szCs w:val="32"/>
        </w:rPr>
        <w:t>1．《食品生产许可申请书》;</w:t>
      </w:r>
    </w:p>
    <w:p>
      <w:pPr>
        <w:spacing w:line="550" w:lineRule="exact"/>
        <w:ind w:firstLine="632" w:firstLineChars="200"/>
        <w:rPr>
          <w:rFonts w:cs="宋体"/>
          <w:kern w:val="0"/>
          <w:szCs w:val="32"/>
        </w:rPr>
      </w:pPr>
      <w:r>
        <w:rPr>
          <w:rFonts w:hint="eastAsia" w:cs="宋体"/>
          <w:kern w:val="0"/>
          <w:szCs w:val="32"/>
        </w:rPr>
        <w:t>2．食品生产设备布局图和食品生产工艺流程图；</w:t>
      </w:r>
    </w:p>
    <w:p>
      <w:pPr>
        <w:spacing w:line="550" w:lineRule="exact"/>
        <w:ind w:firstLine="632" w:firstLineChars="200"/>
        <w:rPr>
          <w:rFonts w:cs="宋体"/>
          <w:kern w:val="0"/>
          <w:szCs w:val="32"/>
        </w:rPr>
      </w:pPr>
      <w:r>
        <w:rPr>
          <w:rFonts w:hint="eastAsia" w:cs="宋体"/>
          <w:kern w:val="0"/>
          <w:szCs w:val="32"/>
        </w:rPr>
        <w:t>3．食品生产主要设备、设施清单；</w:t>
      </w:r>
    </w:p>
    <w:p>
      <w:pPr>
        <w:spacing w:line="550" w:lineRule="exact"/>
        <w:ind w:firstLine="632" w:firstLineChars="200"/>
        <w:rPr>
          <w:rFonts w:cs="宋体"/>
          <w:kern w:val="0"/>
          <w:szCs w:val="32"/>
        </w:rPr>
      </w:pPr>
      <w:r>
        <w:rPr>
          <w:rFonts w:hint="eastAsia" w:cs="宋体"/>
          <w:kern w:val="0"/>
          <w:szCs w:val="32"/>
        </w:rPr>
        <w:t>4．专职或者兼职的食品安全专业技术人员、食品安全管理人员信息和食品安全管理制度清单；</w:t>
      </w:r>
    </w:p>
    <w:p>
      <w:pPr>
        <w:spacing w:line="550" w:lineRule="exact"/>
        <w:ind w:firstLine="632" w:firstLineChars="200"/>
        <w:rPr>
          <w:rFonts w:cs="宋体"/>
          <w:kern w:val="0"/>
          <w:szCs w:val="32"/>
        </w:rPr>
      </w:pPr>
      <w:r>
        <w:rPr>
          <w:rFonts w:hint="eastAsia" w:cs="宋体"/>
          <w:kern w:val="0"/>
          <w:szCs w:val="32"/>
        </w:rPr>
        <w:t>5．已签章的《行政审批告知承诺书》;</w:t>
      </w:r>
    </w:p>
    <w:p>
      <w:pPr>
        <w:spacing w:line="550" w:lineRule="exact"/>
        <w:ind w:firstLine="632" w:firstLineChars="200"/>
        <w:rPr>
          <w:rFonts w:cs="宋体"/>
          <w:kern w:val="0"/>
          <w:szCs w:val="32"/>
        </w:rPr>
      </w:pPr>
      <w:r>
        <w:rPr>
          <w:rFonts w:hint="eastAsia" w:cs="宋体"/>
          <w:kern w:val="0"/>
          <w:szCs w:val="32"/>
        </w:rPr>
        <w:t>6．变更、延续食品生产许可的，还应提供企业声明等与变更延续有关的其他资料；</w:t>
      </w:r>
    </w:p>
    <w:p>
      <w:pPr>
        <w:spacing w:line="550" w:lineRule="exact"/>
        <w:ind w:firstLine="632" w:firstLineChars="200"/>
        <w:rPr>
          <w:rFonts w:cs="宋体"/>
          <w:kern w:val="0"/>
          <w:szCs w:val="32"/>
        </w:rPr>
      </w:pPr>
      <w:r>
        <w:rPr>
          <w:rFonts w:hint="eastAsia" w:cs="宋体"/>
          <w:kern w:val="0"/>
          <w:szCs w:val="32"/>
        </w:rPr>
        <w:t>委托他人代为提出申请的，应当提交由委托人签字或盖章的授权委托书及委托人、委托代理人身份证明文件。</w:t>
      </w:r>
    </w:p>
    <w:p>
      <w:pPr>
        <w:spacing w:line="550" w:lineRule="exact"/>
        <w:ind w:firstLine="632" w:firstLineChars="200"/>
        <w:rPr>
          <w:rFonts w:cs="宋体"/>
          <w:kern w:val="0"/>
          <w:szCs w:val="32"/>
        </w:rPr>
      </w:pPr>
    </w:p>
    <w:p>
      <w:pPr>
        <w:spacing w:line="550" w:lineRule="exact"/>
        <w:ind w:firstLine="632" w:firstLineChars="200"/>
        <w:rPr>
          <w:rFonts w:cs="宋体"/>
          <w:kern w:val="0"/>
          <w:szCs w:val="32"/>
        </w:rPr>
      </w:pPr>
      <w:r>
        <w:rPr>
          <w:rFonts w:hint="eastAsia" w:cs="宋体"/>
          <w:kern w:val="0"/>
          <w:szCs w:val="32"/>
        </w:rPr>
        <w:t xml:space="preserve">                     行政审批机关：</w:t>
      </w:r>
    </w:p>
    <w:p>
      <w:pPr>
        <w:spacing w:line="550" w:lineRule="exact"/>
        <w:ind w:firstLine="632" w:firstLineChars="200"/>
        <w:rPr>
          <w:rFonts w:cs="宋体"/>
          <w:kern w:val="0"/>
          <w:szCs w:val="32"/>
        </w:rPr>
      </w:pPr>
      <w:r>
        <w:rPr>
          <w:rFonts w:hint="eastAsia" w:cs="宋体"/>
          <w:kern w:val="0"/>
          <w:szCs w:val="32"/>
        </w:rPr>
        <w:t xml:space="preserve">                       （盖章）</w:t>
      </w:r>
    </w:p>
    <w:p>
      <w:pPr>
        <w:spacing w:line="550" w:lineRule="exact"/>
        <w:ind w:firstLine="632" w:firstLineChars="200"/>
        <w:rPr>
          <w:rFonts w:cs="宋体"/>
          <w:kern w:val="0"/>
          <w:szCs w:val="32"/>
        </w:rPr>
        <w:sectPr>
          <w:headerReference r:id="rId3" w:type="default"/>
          <w:footerReference r:id="rId4" w:type="default"/>
          <w:pgSz w:w="11906" w:h="16838"/>
          <w:pgMar w:top="2098" w:right="1531" w:bottom="1984" w:left="1531" w:header="850" w:footer="1474" w:gutter="0"/>
          <w:cols w:space="0" w:num="1"/>
          <w:docGrid w:type="linesAndChars" w:linePitch="579" w:charSpace="-849"/>
        </w:sectPr>
      </w:pPr>
      <w:r>
        <w:rPr>
          <w:rFonts w:hint="eastAsia" w:cs="宋体"/>
          <w:kern w:val="0"/>
          <w:szCs w:val="32"/>
        </w:rPr>
        <w:t xml:space="preserve">                       年　月　日</w:t>
      </w:r>
    </w:p>
    <w:p>
      <w:pPr>
        <w:outlineLvl w:val="0"/>
        <w:rPr>
          <w:rFonts w:eastAsia="方正黑体_GBK" w:cs="方正黑体_GBK"/>
          <w:szCs w:val="32"/>
        </w:rPr>
      </w:pPr>
      <w:r>
        <w:rPr>
          <w:rFonts w:hint="eastAsia" w:eastAsia="方正黑体_GBK" w:cs="方正黑体_GBK"/>
          <w:szCs w:val="32"/>
        </w:rPr>
        <w:t>附件2</w:t>
      </w:r>
    </w:p>
    <w:p>
      <w:pPr>
        <w:jc w:val="center"/>
        <w:rPr>
          <w:rFonts w:eastAsia="方正黑体_GBK" w:cs="方正黑体_GBK"/>
          <w:szCs w:val="32"/>
        </w:rPr>
      </w:pPr>
    </w:p>
    <w:p>
      <w:pPr>
        <w:jc w:val="center"/>
        <w:rPr>
          <w:rFonts w:eastAsia="方正小标宋_GBK" w:cs="方正小标宋简体"/>
          <w:sz w:val="44"/>
          <w:szCs w:val="44"/>
        </w:rPr>
      </w:pPr>
      <w:r>
        <w:rPr>
          <w:rFonts w:hint="eastAsia" w:eastAsia="方正小标宋_GBK" w:cs="方正小标宋简体"/>
          <w:sz w:val="44"/>
          <w:szCs w:val="44"/>
        </w:rPr>
        <w:t>低风险食品告知承诺监督检查评分记录表</w:t>
      </w:r>
    </w:p>
    <w:p>
      <w:pPr>
        <w:ind w:firstLine="2770" w:firstLineChars="877"/>
        <w:jc w:val="left"/>
        <w:rPr>
          <w:rFonts w:eastAsia="方正小标宋_GBK"/>
          <w:szCs w:val="21"/>
        </w:rPr>
      </w:pPr>
    </w:p>
    <w:p>
      <w:pPr>
        <w:ind w:firstLine="2770" w:firstLineChars="877"/>
        <w:jc w:val="left"/>
        <w:rPr>
          <w:rFonts w:eastAsia="方正小标宋_GBK"/>
          <w:szCs w:val="21"/>
        </w:rPr>
      </w:pPr>
    </w:p>
    <w:p>
      <w:pPr>
        <w:ind w:firstLine="2770" w:firstLineChars="877"/>
        <w:jc w:val="left"/>
        <w:rPr>
          <w:rFonts w:eastAsia="方正小标宋_GBK"/>
          <w:szCs w:val="21"/>
        </w:rPr>
      </w:pPr>
    </w:p>
    <w:p>
      <w:pPr>
        <w:ind w:firstLine="2770" w:firstLineChars="877"/>
        <w:jc w:val="left"/>
        <w:rPr>
          <w:rFonts w:eastAsia="方正小标宋_GBK"/>
          <w:szCs w:val="21"/>
        </w:rPr>
      </w:pPr>
    </w:p>
    <w:p>
      <w:pPr>
        <w:spacing w:before="868" w:beforeLines="150"/>
        <w:jc w:val="left"/>
        <w:rPr>
          <w:szCs w:val="32"/>
          <w:u w:val="single"/>
        </w:rPr>
      </w:pPr>
      <w:r>
        <w:rPr>
          <w:rFonts w:hint="eastAsia"/>
          <w:szCs w:val="32"/>
        </w:rPr>
        <w:t>　　申请人名称：</w:t>
      </w:r>
      <w:r>
        <w:rPr>
          <w:rFonts w:hint="eastAsia"/>
          <w:szCs w:val="32"/>
          <w:u w:val="single"/>
        </w:rPr>
        <w:t xml:space="preserve">                                  </w:t>
      </w:r>
    </w:p>
    <w:p>
      <w:pPr>
        <w:spacing w:before="868" w:beforeLines="150"/>
        <w:jc w:val="left"/>
        <w:rPr>
          <w:szCs w:val="32"/>
          <w:u w:val="single"/>
        </w:rPr>
      </w:pPr>
      <w:r>
        <w:rPr>
          <w:rFonts w:hint="eastAsia"/>
          <w:szCs w:val="32"/>
        </w:rPr>
        <w:t>　　食品、食品添加剂类别及类别名称：</w:t>
      </w:r>
      <w:r>
        <w:rPr>
          <w:rFonts w:hint="eastAsia"/>
          <w:szCs w:val="32"/>
          <w:u w:val="single"/>
        </w:rPr>
        <w:t xml:space="preserve">              </w:t>
      </w:r>
    </w:p>
    <w:p>
      <w:pPr>
        <w:spacing w:before="868" w:beforeLines="150"/>
        <w:jc w:val="left"/>
        <w:rPr>
          <w:szCs w:val="32"/>
          <w:u w:val="single"/>
        </w:rPr>
      </w:pPr>
      <w:r>
        <w:rPr>
          <w:rFonts w:hint="eastAsia"/>
          <w:szCs w:val="32"/>
        </w:rPr>
        <w:t>　　生产场所地址：</w:t>
      </w:r>
      <w:r>
        <w:rPr>
          <w:rFonts w:hint="eastAsia"/>
          <w:szCs w:val="32"/>
          <w:u w:val="single"/>
        </w:rPr>
        <w:t xml:space="preserve">                                </w:t>
      </w:r>
    </w:p>
    <w:p>
      <w:pPr>
        <w:spacing w:before="868" w:beforeLines="150"/>
        <w:jc w:val="left"/>
        <w:rPr>
          <w:sz w:val="48"/>
          <w:szCs w:val="48"/>
        </w:rPr>
      </w:pPr>
      <w:r>
        <w:rPr>
          <w:rFonts w:hint="eastAsia"/>
          <w:szCs w:val="32"/>
        </w:rPr>
        <w:t>　　检查日期：</w:t>
      </w:r>
      <w:r>
        <w:rPr>
          <w:rFonts w:hint="eastAsia"/>
          <w:szCs w:val="32"/>
          <w:u w:val="single"/>
        </w:rPr>
        <w:t xml:space="preserve">          年          月          日</w:t>
      </w:r>
    </w:p>
    <w:p>
      <w:pPr>
        <w:jc w:val="left"/>
        <w:rPr>
          <w:rFonts w:eastAsia="方正小标宋简体" w:cs="方正小标宋简体"/>
          <w:sz w:val="36"/>
          <w:szCs w:val="36"/>
        </w:rPr>
        <w:sectPr>
          <w:pgSz w:w="11906" w:h="16838"/>
          <w:pgMar w:top="2098" w:right="1531" w:bottom="1984" w:left="1531" w:header="850" w:footer="1474" w:gutter="0"/>
          <w:cols w:space="0" w:num="1"/>
          <w:docGrid w:type="linesAndChars" w:linePitch="579" w:charSpace="-849"/>
        </w:sectPr>
      </w:pPr>
    </w:p>
    <w:p>
      <w:pPr>
        <w:spacing w:line="600" w:lineRule="exact"/>
        <w:rPr>
          <w:rFonts w:eastAsia="方正小标宋简体" w:cs="方正小标宋简体"/>
          <w:sz w:val="36"/>
          <w:szCs w:val="36"/>
        </w:rPr>
      </w:pPr>
    </w:p>
    <w:tbl>
      <w:tblPr>
        <w:tblStyle w:val="9"/>
        <w:tblW w:w="114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701"/>
        <w:gridCol w:w="4537"/>
        <w:gridCol w:w="1701"/>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56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方正仿宋_GBK"/>
                <w:sz w:val="24"/>
              </w:rPr>
            </w:pPr>
            <w:r>
              <w:rPr>
                <w:rFonts w:hint="eastAsia" w:cs="方正仿宋_GBK"/>
                <w:sz w:val="24"/>
              </w:rPr>
              <w:t>检查人</w:t>
            </w:r>
          </w:p>
          <w:p>
            <w:pPr>
              <w:spacing w:line="400" w:lineRule="exact"/>
              <w:jc w:val="center"/>
              <w:rPr>
                <w:rFonts w:cs="方正仿宋_GBK"/>
                <w:sz w:val="24"/>
              </w:rPr>
            </w:pPr>
            <w:r>
              <w:rPr>
                <w:rFonts w:hint="eastAsia" w:cs="方正仿宋_GBK"/>
                <w:sz w:val="24"/>
              </w:rPr>
              <w:t>员</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方正仿宋_GBK"/>
                <w:sz w:val="24"/>
              </w:rPr>
            </w:pPr>
            <w:r>
              <w:rPr>
                <w:rFonts w:hint="eastAsia" w:cs="方正仿宋_GBK"/>
                <w:sz w:val="24"/>
              </w:rPr>
              <w:t>姓名（签名）</w:t>
            </w:r>
          </w:p>
        </w:tc>
        <w:tc>
          <w:tcPr>
            <w:tcW w:w="45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方正仿宋_GBK"/>
                <w:sz w:val="24"/>
              </w:rPr>
            </w:pPr>
            <w:r>
              <w:rPr>
                <w:rFonts w:hint="eastAsia" w:cs="方正仿宋_GBK"/>
                <w:sz w:val="24"/>
              </w:rPr>
              <w:t>单位</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方正仿宋_GBK"/>
                <w:sz w:val="24"/>
              </w:rPr>
            </w:pPr>
            <w:r>
              <w:rPr>
                <w:rFonts w:hint="eastAsia" w:cs="方正仿宋_GBK"/>
                <w:sz w:val="24"/>
              </w:rPr>
              <w:t>职务</w:t>
            </w:r>
          </w:p>
        </w:tc>
        <w:tc>
          <w:tcPr>
            <w:tcW w:w="29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方正仿宋_GBK"/>
                <w:sz w:val="24"/>
              </w:rPr>
            </w:pPr>
            <w:r>
              <w:rPr>
                <w:rFonts w:hint="eastAsia" w:cs="方正仿宋_GBK"/>
                <w:sz w:val="24"/>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方正仿宋_GBK"/>
                <w:sz w:val="24"/>
              </w:rPr>
            </w:pPr>
          </w:p>
        </w:tc>
        <w:tc>
          <w:tcPr>
            <w:tcW w:w="45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方正仿宋_GBK"/>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方正仿宋_GBK"/>
                <w:sz w:val="24"/>
              </w:rPr>
            </w:pPr>
          </w:p>
        </w:tc>
        <w:tc>
          <w:tcPr>
            <w:tcW w:w="29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方正仿宋_GBK"/>
                <w:sz w:val="24"/>
              </w:rPr>
            </w:pPr>
          </w:p>
        </w:tc>
        <w:tc>
          <w:tcPr>
            <w:tcW w:w="45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方正仿宋_GBK"/>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方正仿宋_GBK"/>
                <w:sz w:val="24"/>
              </w:rPr>
            </w:pPr>
          </w:p>
        </w:tc>
        <w:tc>
          <w:tcPr>
            <w:tcW w:w="29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方正仿宋_GBK"/>
                <w:sz w:val="24"/>
              </w:rPr>
            </w:pPr>
          </w:p>
        </w:tc>
        <w:tc>
          <w:tcPr>
            <w:tcW w:w="45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方正仿宋_GBK"/>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方正仿宋_GBK"/>
                <w:sz w:val="24"/>
              </w:rPr>
            </w:pPr>
          </w:p>
        </w:tc>
        <w:tc>
          <w:tcPr>
            <w:tcW w:w="29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方正仿宋_GBK"/>
                <w:sz w:val="24"/>
              </w:rPr>
            </w:pPr>
          </w:p>
        </w:tc>
        <w:tc>
          <w:tcPr>
            <w:tcW w:w="45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方正仿宋_GBK"/>
                <w:sz w:val="24"/>
              </w:rPr>
            </w:pPr>
          </w:p>
        </w:tc>
        <w:tc>
          <w:tcPr>
            <w:tcW w:w="1701" w:type="dxa"/>
            <w:tcBorders>
              <w:top w:val="single" w:color="auto" w:sz="4" w:space="0"/>
              <w:left w:val="single" w:color="auto" w:sz="4" w:space="0"/>
              <w:bottom w:val="single" w:color="auto" w:sz="4" w:space="0"/>
              <w:right w:val="single" w:color="auto" w:sz="4" w:space="0"/>
            </w:tcBorders>
          </w:tcPr>
          <w:p>
            <w:pPr>
              <w:spacing w:line="400" w:lineRule="exact"/>
              <w:jc w:val="center"/>
              <w:rPr>
                <w:rFonts w:cs="方正仿宋_GBK"/>
                <w:sz w:val="24"/>
              </w:rPr>
            </w:pPr>
          </w:p>
        </w:tc>
        <w:tc>
          <w:tcPr>
            <w:tcW w:w="29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方正仿宋_GBK"/>
                <w:sz w:val="24"/>
              </w:rPr>
            </w:pPr>
          </w:p>
        </w:tc>
        <w:tc>
          <w:tcPr>
            <w:tcW w:w="45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方正仿宋_GBK"/>
                <w:sz w:val="24"/>
              </w:rPr>
            </w:pPr>
          </w:p>
        </w:tc>
        <w:tc>
          <w:tcPr>
            <w:tcW w:w="1701" w:type="dxa"/>
            <w:tcBorders>
              <w:top w:val="single" w:color="auto" w:sz="4" w:space="0"/>
              <w:left w:val="single" w:color="auto" w:sz="4" w:space="0"/>
              <w:bottom w:val="single" w:color="auto" w:sz="4" w:space="0"/>
              <w:right w:val="single" w:color="auto" w:sz="4" w:space="0"/>
            </w:tcBorders>
          </w:tcPr>
          <w:p>
            <w:pPr>
              <w:spacing w:line="400" w:lineRule="exact"/>
              <w:jc w:val="center"/>
              <w:rPr>
                <w:rFonts w:cs="方正仿宋_GBK"/>
                <w:sz w:val="24"/>
              </w:rPr>
            </w:pPr>
          </w:p>
        </w:tc>
        <w:tc>
          <w:tcPr>
            <w:tcW w:w="29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方正仿宋_GBK"/>
                <w:sz w:val="24"/>
              </w:rPr>
            </w:pPr>
          </w:p>
        </w:tc>
        <w:tc>
          <w:tcPr>
            <w:tcW w:w="45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方正仿宋_GBK"/>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方正仿宋_GBK"/>
                <w:sz w:val="24"/>
              </w:rPr>
            </w:pPr>
          </w:p>
        </w:tc>
        <w:tc>
          <w:tcPr>
            <w:tcW w:w="29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方正仿宋_GBK"/>
                <w:sz w:val="24"/>
              </w:rPr>
            </w:pPr>
          </w:p>
        </w:tc>
      </w:tr>
    </w:tbl>
    <w:p>
      <w:pPr>
        <w:spacing w:line="600" w:lineRule="exact"/>
        <w:jc w:val="center"/>
        <w:rPr>
          <w:rFonts w:eastAsia="方正小标宋简体" w:cs="方正小标宋简体"/>
          <w:sz w:val="36"/>
          <w:szCs w:val="36"/>
        </w:rPr>
      </w:pPr>
      <w:r>
        <w:rPr>
          <w:rFonts w:hint="eastAsia" w:eastAsia="方正小标宋简体" w:cs="方正小标宋简体"/>
          <w:sz w:val="36"/>
          <w:szCs w:val="36"/>
        </w:rPr>
        <w:br w:type="page"/>
      </w:r>
    </w:p>
    <w:p>
      <w:pPr>
        <w:adjustRightInd w:val="0"/>
        <w:snapToGrid w:val="0"/>
        <w:spacing w:line="720" w:lineRule="atLeast"/>
        <w:jc w:val="center"/>
        <w:rPr>
          <w:rFonts w:eastAsia="方正小标宋_GBK" w:cs="方正小标宋_GBK"/>
          <w:sz w:val="44"/>
          <w:szCs w:val="44"/>
        </w:rPr>
      </w:pPr>
      <w:r>
        <w:rPr>
          <w:rFonts w:hint="eastAsia" w:eastAsia="方正小标宋_GBK" w:cs="方正小标宋_GBK"/>
          <w:sz w:val="44"/>
          <w:szCs w:val="44"/>
        </w:rPr>
        <w:t>使用说明</w:t>
      </w:r>
    </w:p>
    <w:p>
      <w:pPr>
        <w:spacing w:line="480" w:lineRule="exact"/>
        <w:rPr>
          <w:rFonts w:cs="方正仿宋_GBK"/>
          <w:sz w:val="24"/>
        </w:rPr>
      </w:pPr>
    </w:p>
    <w:p>
      <w:pPr>
        <w:spacing w:line="480" w:lineRule="exact"/>
        <w:ind w:firstLine="552" w:firstLineChars="200"/>
        <w:rPr>
          <w:rFonts w:cs="方正仿宋_GBK"/>
          <w:sz w:val="28"/>
          <w:szCs w:val="28"/>
        </w:rPr>
      </w:pPr>
      <w:r>
        <w:rPr>
          <w:rFonts w:hint="eastAsia" w:cs="方正仿宋_GBK"/>
          <w:sz w:val="28"/>
          <w:szCs w:val="28"/>
        </w:rPr>
        <w:t>1．本记录表依据《中华人民共和国食品安全法》《食品生产许可管理办法》等法律法规、部门规章以及相关食品安全国家标准的要求制定。</w:t>
      </w:r>
    </w:p>
    <w:p>
      <w:pPr>
        <w:spacing w:line="480" w:lineRule="exact"/>
        <w:ind w:firstLine="552" w:firstLineChars="200"/>
        <w:rPr>
          <w:rFonts w:cs="方正仿宋_GBK"/>
          <w:sz w:val="28"/>
          <w:szCs w:val="28"/>
        </w:rPr>
      </w:pPr>
      <w:r>
        <w:rPr>
          <w:rFonts w:hint="eastAsia" w:cs="方正仿宋_GBK"/>
          <w:sz w:val="28"/>
          <w:szCs w:val="28"/>
        </w:rPr>
        <w:t>2．本记录表应当结合相关食品生产许可审查细则要求使用。</w:t>
      </w:r>
    </w:p>
    <w:p>
      <w:pPr>
        <w:spacing w:line="480" w:lineRule="exact"/>
        <w:ind w:firstLine="552" w:firstLineChars="200"/>
        <w:rPr>
          <w:rFonts w:cs="方正仿宋_GBK"/>
          <w:sz w:val="28"/>
          <w:szCs w:val="28"/>
        </w:rPr>
      </w:pPr>
      <w:r>
        <w:rPr>
          <w:rFonts w:hint="eastAsia" w:cs="方正仿宋_GBK"/>
          <w:sz w:val="28"/>
          <w:szCs w:val="28"/>
        </w:rPr>
        <w:t>3．本记录表包括生产场所（21分）、设备设施（33分）、设备布局和工艺流程（9分）、人员管理（9分）、管理制度（24分）以及产品检验合格报告（1分）等六部分，共33个检查项目。</w:t>
      </w:r>
    </w:p>
    <w:p>
      <w:pPr>
        <w:spacing w:line="480" w:lineRule="exact"/>
        <w:ind w:firstLine="552" w:firstLineChars="200"/>
        <w:rPr>
          <w:rFonts w:cs="方正仿宋_GBK"/>
          <w:sz w:val="28"/>
          <w:szCs w:val="28"/>
        </w:rPr>
      </w:pPr>
      <w:r>
        <w:rPr>
          <w:rFonts w:hint="eastAsia" w:cs="方正仿宋_GBK"/>
          <w:sz w:val="28"/>
          <w:szCs w:val="28"/>
        </w:rPr>
        <w:t>4．检查人员应当按照检查项目规定的“检查内容”“评分标准”进行检查与评分，并将发现的问题具体详实地记录在“检查记录”栏目中。</w:t>
      </w:r>
    </w:p>
    <w:p>
      <w:pPr>
        <w:spacing w:line="480" w:lineRule="exact"/>
        <w:ind w:firstLine="552" w:firstLineChars="200"/>
        <w:rPr>
          <w:rFonts w:cs="方正仿宋_GBK"/>
          <w:sz w:val="28"/>
          <w:szCs w:val="28"/>
        </w:rPr>
      </w:pPr>
      <w:r>
        <w:rPr>
          <w:rFonts w:hint="eastAsia" w:cs="方正仿宋_GBK"/>
          <w:sz w:val="28"/>
          <w:szCs w:val="28"/>
        </w:rPr>
        <w:t>5．检查结论判定原则：检查项目单项得分无0分且总得分率≥85%的，该食品类别及品种明细判定为通过检查。</w:t>
      </w:r>
    </w:p>
    <w:p>
      <w:pPr>
        <w:spacing w:line="480" w:lineRule="exact"/>
        <w:rPr>
          <w:rFonts w:cs="方正仿宋_GBK"/>
          <w:sz w:val="28"/>
          <w:szCs w:val="28"/>
        </w:rPr>
      </w:pPr>
      <w:r>
        <w:rPr>
          <w:rFonts w:hint="eastAsia" w:cs="方正仿宋_GBK"/>
          <w:sz w:val="28"/>
          <w:szCs w:val="28"/>
        </w:rPr>
        <w:t>当出现以下两种情况之一时，该食品类别及品种明细判定为未通过检查：</w:t>
      </w:r>
    </w:p>
    <w:p>
      <w:pPr>
        <w:spacing w:line="480" w:lineRule="exact"/>
        <w:ind w:firstLine="552" w:firstLineChars="200"/>
        <w:rPr>
          <w:rFonts w:cs="方正仿宋_GBK"/>
          <w:sz w:val="28"/>
          <w:szCs w:val="28"/>
        </w:rPr>
      </w:pPr>
      <w:r>
        <w:rPr>
          <w:rFonts w:hint="eastAsia" w:cs="方正仿宋_GBK"/>
          <w:sz w:val="28"/>
          <w:szCs w:val="28"/>
        </w:rPr>
        <w:t>（1）有一项及以上检查项目得0分的；</w:t>
      </w:r>
    </w:p>
    <w:p>
      <w:pPr>
        <w:spacing w:line="480" w:lineRule="exact"/>
        <w:ind w:firstLine="552" w:firstLineChars="200"/>
        <w:rPr>
          <w:rFonts w:cs="方正仿宋_GBK"/>
          <w:sz w:val="28"/>
          <w:szCs w:val="28"/>
        </w:rPr>
      </w:pPr>
      <w:r>
        <w:rPr>
          <w:rFonts w:hint="eastAsia" w:cs="方正仿宋_GBK"/>
          <w:sz w:val="28"/>
          <w:szCs w:val="28"/>
        </w:rPr>
        <w:t>（2）检查项目总得分率＜85%的。</w:t>
      </w:r>
    </w:p>
    <w:p>
      <w:pPr>
        <w:spacing w:line="480" w:lineRule="exact"/>
        <w:ind w:firstLine="552" w:firstLineChars="200"/>
        <w:outlineLvl w:val="0"/>
        <w:rPr>
          <w:rFonts w:cs="方正仿宋_GBK"/>
          <w:sz w:val="24"/>
        </w:rPr>
      </w:pPr>
      <w:r>
        <w:rPr>
          <w:rFonts w:hint="eastAsia" w:cs="方正仿宋_GBK"/>
          <w:sz w:val="28"/>
          <w:szCs w:val="28"/>
        </w:rPr>
        <w:t>6．当某个检查项目不适用时，不参与评分，并在“检查记录”栏目中说明不适用的原因。</w:t>
      </w:r>
    </w:p>
    <w:p>
      <w:pPr>
        <w:spacing w:before="579" w:beforeLines="100" w:after="289" w:afterLines="50" w:line="400" w:lineRule="exact"/>
        <w:ind w:firstLine="472" w:firstLineChars="200"/>
        <w:jc w:val="center"/>
        <w:outlineLvl w:val="0"/>
        <w:rPr>
          <w:rFonts w:eastAsia="方正仿宋简体"/>
          <w:sz w:val="24"/>
        </w:rPr>
        <w:sectPr>
          <w:footerReference r:id="rId5" w:type="default"/>
          <w:pgSz w:w="11906" w:h="16838"/>
          <w:pgMar w:top="2098" w:right="1531" w:bottom="1984" w:left="1531" w:header="850" w:footer="1474" w:gutter="0"/>
          <w:cols w:space="0" w:num="1"/>
          <w:docGrid w:type="linesAndChars" w:linePitch="579" w:charSpace="-849"/>
        </w:sectPr>
      </w:pPr>
    </w:p>
    <w:p>
      <w:pPr>
        <w:spacing w:before="589" w:beforeLines="100" w:after="294" w:afterLines="50" w:line="400" w:lineRule="exact"/>
        <w:jc w:val="center"/>
        <w:outlineLvl w:val="0"/>
        <w:rPr>
          <w:rFonts w:eastAsia="方正黑体_GBK" w:cs="方正黑体_GBK"/>
          <w:szCs w:val="32"/>
        </w:rPr>
      </w:pPr>
      <w:r>
        <w:rPr>
          <w:rFonts w:hint="eastAsia" w:eastAsia="方正黑体_GBK" w:cs="方正黑体_GBK"/>
          <w:szCs w:val="32"/>
        </w:rPr>
        <w:t>一、生产场所（共21分）</w:t>
      </w:r>
    </w:p>
    <w:tbl>
      <w:tblPr>
        <w:tblStyle w:val="9"/>
        <w:tblW w:w="13482" w:type="dxa"/>
        <w:jc w:val="center"/>
        <w:tblInd w:w="0" w:type="dxa"/>
        <w:tblLayout w:type="fixed"/>
        <w:tblCellMar>
          <w:top w:w="0" w:type="dxa"/>
          <w:left w:w="108" w:type="dxa"/>
          <w:bottom w:w="0" w:type="dxa"/>
          <w:right w:w="108" w:type="dxa"/>
        </w:tblCellMar>
      </w:tblPr>
      <w:tblGrid>
        <w:gridCol w:w="724"/>
        <w:gridCol w:w="1418"/>
        <w:gridCol w:w="3969"/>
        <w:gridCol w:w="2976"/>
        <w:gridCol w:w="426"/>
        <w:gridCol w:w="1275"/>
        <w:gridCol w:w="2694"/>
      </w:tblGrid>
      <w:tr>
        <w:tblPrEx>
          <w:tblLayout w:type="fixed"/>
          <w:tblCellMar>
            <w:top w:w="0" w:type="dxa"/>
            <w:left w:w="108" w:type="dxa"/>
            <w:bottom w:w="0" w:type="dxa"/>
            <w:right w:w="108" w:type="dxa"/>
          </w:tblCellMar>
        </w:tblPrEx>
        <w:trPr>
          <w:cantSplit/>
          <w:trHeight w:val="20" w:hRule="atLeast"/>
          <w:tblHeader/>
          <w:jc w:val="center"/>
        </w:trPr>
        <w:tc>
          <w:tcPr>
            <w:tcW w:w="72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方正黑体_GBK" w:cs="方正黑体_GBK"/>
                <w:bCs/>
                <w:kern w:val="0"/>
                <w:sz w:val="24"/>
                <w:szCs w:val="24"/>
              </w:rPr>
            </w:pPr>
            <w:r>
              <w:rPr>
                <w:rFonts w:hint="eastAsia" w:eastAsia="方正黑体_GBK" w:cs="方正黑体_GBK"/>
                <w:bCs/>
                <w:kern w:val="0"/>
                <w:sz w:val="24"/>
                <w:szCs w:val="24"/>
              </w:rPr>
              <w:t>序号</w:t>
            </w:r>
          </w:p>
        </w:tc>
        <w:tc>
          <w:tcPr>
            <w:tcW w:w="1418"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黑体_GBK" w:cs="方正黑体_GBK"/>
                <w:bCs/>
                <w:kern w:val="0"/>
                <w:sz w:val="24"/>
                <w:szCs w:val="24"/>
              </w:rPr>
            </w:pPr>
            <w:r>
              <w:rPr>
                <w:rFonts w:hint="eastAsia" w:eastAsia="方正黑体_GBK" w:cs="方正黑体_GBK"/>
                <w:bCs/>
                <w:kern w:val="0"/>
                <w:sz w:val="24"/>
                <w:szCs w:val="24"/>
              </w:rPr>
              <w:t>检查项目</w:t>
            </w:r>
          </w:p>
        </w:tc>
        <w:tc>
          <w:tcPr>
            <w:tcW w:w="3969"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黑体_GBK" w:cs="方正黑体_GBK"/>
                <w:bCs/>
                <w:kern w:val="0"/>
                <w:sz w:val="24"/>
                <w:szCs w:val="24"/>
              </w:rPr>
            </w:pPr>
            <w:r>
              <w:rPr>
                <w:rFonts w:hint="eastAsia" w:eastAsia="方正黑体_GBK" w:cs="方正黑体_GBK"/>
                <w:bCs/>
                <w:kern w:val="0"/>
                <w:sz w:val="24"/>
                <w:szCs w:val="24"/>
              </w:rPr>
              <w:t>检查内容</w:t>
            </w:r>
          </w:p>
        </w:tc>
        <w:tc>
          <w:tcPr>
            <w:tcW w:w="340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黑体_GBK" w:cs="方正黑体_GBK"/>
                <w:bCs/>
                <w:kern w:val="0"/>
                <w:sz w:val="24"/>
                <w:szCs w:val="24"/>
              </w:rPr>
            </w:pPr>
            <w:r>
              <w:rPr>
                <w:rFonts w:hint="eastAsia" w:eastAsia="方正黑体_GBK" w:cs="方正黑体_GBK"/>
                <w:bCs/>
                <w:kern w:val="0"/>
                <w:sz w:val="24"/>
                <w:szCs w:val="24"/>
              </w:rPr>
              <w:t>评分标准</w:t>
            </w:r>
          </w:p>
        </w:tc>
        <w:tc>
          <w:tcPr>
            <w:tcW w:w="1275"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黑体_GBK" w:cs="方正黑体_GBK"/>
                <w:bCs/>
                <w:kern w:val="0"/>
                <w:sz w:val="24"/>
                <w:szCs w:val="24"/>
              </w:rPr>
            </w:pPr>
            <w:r>
              <w:rPr>
                <w:rFonts w:hint="eastAsia" w:eastAsia="方正黑体_GBK" w:cs="方正黑体_GBK"/>
                <w:bCs/>
                <w:kern w:val="0"/>
                <w:sz w:val="24"/>
                <w:szCs w:val="24"/>
              </w:rPr>
              <w:t>检查得分</w:t>
            </w:r>
          </w:p>
        </w:tc>
        <w:tc>
          <w:tcPr>
            <w:tcW w:w="2694"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黑体_GBK" w:cs="方正黑体_GBK"/>
                <w:bCs/>
                <w:kern w:val="0"/>
                <w:sz w:val="24"/>
                <w:szCs w:val="24"/>
              </w:rPr>
            </w:pPr>
            <w:r>
              <w:rPr>
                <w:rFonts w:hint="eastAsia" w:eastAsia="方正黑体_GBK" w:cs="方正黑体_GBK"/>
                <w:bCs/>
                <w:kern w:val="0"/>
                <w:sz w:val="24"/>
                <w:szCs w:val="24"/>
              </w:rPr>
              <w:t>检查记录</w:t>
            </w:r>
          </w:p>
        </w:tc>
      </w:tr>
      <w:tr>
        <w:tblPrEx>
          <w:tblLayout w:type="fixed"/>
          <w:tblCellMar>
            <w:top w:w="0" w:type="dxa"/>
            <w:left w:w="108" w:type="dxa"/>
            <w:bottom w:w="0" w:type="dxa"/>
            <w:right w:w="108" w:type="dxa"/>
          </w:tblCellMar>
        </w:tblPrEx>
        <w:trPr>
          <w:cantSplit/>
          <w:trHeight w:val="448" w:hRule="atLeast"/>
          <w:jc w:val="center"/>
        </w:trPr>
        <w:tc>
          <w:tcPr>
            <w:tcW w:w="724"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1.1</w:t>
            </w:r>
          </w:p>
        </w:tc>
        <w:tc>
          <w:tcPr>
            <w:tcW w:w="1418"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厂区要求</w:t>
            </w:r>
          </w:p>
        </w:tc>
        <w:tc>
          <w:tcPr>
            <w:tcW w:w="3969" w:type="dxa"/>
            <w:vMerge w:val="restart"/>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r>
              <w:rPr>
                <w:rFonts w:hint="eastAsia" w:cs="方正仿宋_GBK"/>
                <w:kern w:val="0"/>
                <w:sz w:val="24"/>
                <w:szCs w:val="24"/>
              </w:rPr>
              <w:t>1.保持生产场所环境整洁，周围无虫害大量孳生的潜在场所，无有害废弃物以及粉尘、有害气体、放射性物质和其他扩散性污染源。各类污染源难以避开时应</w:t>
            </w:r>
            <w:r>
              <w:rPr>
                <w:rFonts w:hint="eastAsia" w:cs="方正仿宋_GBK"/>
                <w:sz w:val="24"/>
                <w:szCs w:val="24"/>
              </w:rPr>
              <w:t>当</w:t>
            </w:r>
            <w:r>
              <w:rPr>
                <w:rFonts w:hint="eastAsia" w:cs="方正仿宋_GBK"/>
                <w:kern w:val="0"/>
                <w:sz w:val="24"/>
                <w:szCs w:val="24"/>
              </w:rPr>
              <w:t>有必要的防范措施，能有效清除污染源造成的影响。</w:t>
            </w:r>
          </w:p>
        </w:tc>
        <w:tc>
          <w:tcPr>
            <w:tcW w:w="2976" w:type="dxa"/>
            <w:tcBorders>
              <w:top w:val="nil"/>
              <w:left w:val="nil"/>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符合规定要求。</w:t>
            </w:r>
          </w:p>
        </w:tc>
        <w:tc>
          <w:tcPr>
            <w:tcW w:w="426" w:type="dxa"/>
            <w:tcBorders>
              <w:top w:val="nil"/>
              <w:left w:val="nil"/>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3</w:t>
            </w:r>
          </w:p>
        </w:tc>
        <w:tc>
          <w:tcPr>
            <w:tcW w:w="1275" w:type="dxa"/>
            <w:vMerge w:val="restart"/>
            <w:tcBorders>
              <w:top w:val="nil"/>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　</w:t>
            </w:r>
          </w:p>
        </w:tc>
        <w:tc>
          <w:tcPr>
            <w:tcW w:w="2694" w:type="dxa"/>
            <w:vMerge w:val="restart"/>
            <w:tcBorders>
              <w:top w:val="nil"/>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p>
        </w:tc>
      </w:tr>
      <w:tr>
        <w:tblPrEx>
          <w:tblLayout w:type="fixed"/>
          <w:tblCellMar>
            <w:top w:w="0" w:type="dxa"/>
            <w:left w:w="108" w:type="dxa"/>
            <w:bottom w:w="0" w:type="dxa"/>
            <w:right w:w="108" w:type="dxa"/>
          </w:tblCellMar>
        </w:tblPrEx>
        <w:trPr>
          <w:cantSplit/>
          <w:trHeight w:val="836" w:hRule="atLeast"/>
          <w:jc w:val="center"/>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6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6" w:type="dxa"/>
            <w:tcBorders>
              <w:top w:val="nil"/>
              <w:left w:val="nil"/>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有污染源防范措施，但个别防范措施效果不明显。</w:t>
            </w:r>
          </w:p>
        </w:tc>
        <w:tc>
          <w:tcPr>
            <w:tcW w:w="426" w:type="dxa"/>
            <w:tcBorders>
              <w:top w:val="nil"/>
              <w:left w:val="nil"/>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1</w:t>
            </w:r>
          </w:p>
        </w:tc>
        <w:tc>
          <w:tcPr>
            <w:tcW w:w="12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Layout w:type="fixed"/>
          <w:tblCellMar>
            <w:top w:w="0" w:type="dxa"/>
            <w:left w:w="108" w:type="dxa"/>
            <w:bottom w:w="0" w:type="dxa"/>
            <w:right w:w="108" w:type="dxa"/>
          </w:tblCellMar>
        </w:tblPrEx>
        <w:trPr>
          <w:cantSplit/>
          <w:trHeight w:val="1131" w:hRule="atLeast"/>
          <w:jc w:val="center"/>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6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6" w:type="dxa"/>
            <w:tcBorders>
              <w:top w:val="nil"/>
              <w:left w:val="nil"/>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无污染源防范措施，或者污染源防范措施无明显效果。</w:t>
            </w:r>
          </w:p>
        </w:tc>
        <w:tc>
          <w:tcPr>
            <w:tcW w:w="426" w:type="dxa"/>
            <w:tcBorders>
              <w:top w:val="nil"/>
              <w:left w:val="nil"/>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0</w:t>
            </w:r>
          </w:p>
        </w:tc>
        <w:tc>
          <w:tcPr>
            <w:tcW w:w="12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Layout w:type="fixed"/>
          <w:tblCellMar>
            <w:top w:w="0" w:type="dxa"/>
            <w:left w:w="108" w:type="dxa"/>
            <w:bottom w:w="0" w:type="dxa"/>
            <w:right w:w="108" w:type="dxa"/>
          </w:tblCellMar>
        </w:tblPrEx>
        <w:trPr>
          <w:cantSplit/>
          <w:trHeight w:val="566" w:hRule="atLeast"/>
          <w:jc w:val="center"/>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69" w:type="dxa"/>
            <w:vMerge w:val="restart"/>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r>
              <w:rPr>
                <w:rFonts w:hint="eastAsia" w:cs="方正仿宋_GBK"/>
                <w:kern w:val="0"/>
                <w:sz w:val="24"/>
                <w:szCs w:val="24"/>
              </w:rPr>
              <w:t>2.厂区布局合理，各功能区划分明显。生活区与生产区保持适当距离或分隔，防止交叉污染。</w:t>
            </w:r>
          </w:p>
        </w:tc>
        <w:tc>
          <w:tcPr>
            <w:tcW w:w="2976" w:type="dxa"/>
            <w:tcBorders>
              <w:top w:val="nil"/>
              <w:left w:val="nil"/>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符合规定要求。</w:t>
            </w:r>
          </w:p>
        </w:tc>
        <w:tc>
          <w:tcPr>
            <w:tcW w:w="426" w:type="dxa"/>
            <w:tcBorders>
              <w:top w:val="nil"/>
              <w:left w:val="nil"/>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3</w:t>
            </w:r>
          </w:p>
        </w:tc>
        <w:tc>
          <w:tcPr>
            <w:tcW w:w="1275" w:type="dxa"/>
            <w:vMerge w:val="restart"/>
            <w:tcBorders>
              <w:top w:val="nil"/>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　</w:t>
            </w:r>
          </w:p>
        </w:tc>
        <w:tc>
          <w:tcPr>
            <w:tcW w:w="2694" w:type="dxa"/>
            <w:vMerge w:val="restart"/>
            <w:tcBorders>
              <w:top w:val="nil"/>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p>
        </w:tc>
      </w:tr>
      <w:tr>
        <w:tblPrEx>
          <w:tblLayout w:type="fixed"/>
          <w:tblCellMar>
            <w:top w:w="0" w:type="dxa"/>
            <w:left w:w="108" w:type="dxa"/>
            <w:bottom w:w="0" w:type="dxa"/>
            <w:right w:w="108" w:type="dxa"/>
          </w:tblCellMar>
        </w:tblPrEx>
        <w:trPr>
          <w:cantSplit/>
          <w:trHeight w:val="1256" w:hRule="atLeast"/>
          <w:jc w:val="center"/>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6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6" w:type="dxa"/>
            <w:tcBorders>
              <w:top w:val="nil"/>
              <w:left w:val="nil"/>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厂区布局基本合理，生活区与生产区相距较近或分隔不彻底。</w:t>
            </w:r>
          </w:p>
        </w:tc>
        <w:tc>
          <w:tcPr>
            <w:tcW w:w="426" w:type="dxa"/>
            <w:tcBorders>
              <w:top w:val="nil"/>
              <w:left w:val="nil"/>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1</w:t>
            </w:r>
          </w:p>
        </w:tc>
        <w:tc>
          <w:tcPr>
            <w:tcW w:w="12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Layout w:type="fixed"/>
          <w:tblCellMar>
            <w:top w:w="0" w:type="dxa"/>
            <w:left w:w="108" w:type="dxa"/>
            <w:bottom w:w="0" w:type="dxa"/>
            <w:right w:w="108" w:type="dxa"/>
          </w:tblCellMar>
        </w:tblPrEx>
        <w:trPr>
          <w:cantSplit/>
          <w:trHeight w:val="1260" w:hRule="atLeast"/>
          <w:jc w:val="center"/>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6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6" w:type="dxa"/>
            <w:tcBorders>
              <w:top w:val="nil"/>
              <w:left w:val="nil"/>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厂区布局不合理，或者生活区与生产区紧邻且未分隔，或者存在交叉污染。</w:t>
            </w:r>
          </w:p>
        </w:tc>
        <w:tc>
          <w:tcPr>
            <w:tcW w:w="426" w:type="dxa"/>
            <w:tcBorders>
              <w:top w:val="nil"/>
              <w:left w:val="nil"/>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0</w:t>
            </w:r>
          </w:p>
        </w:tc>
        <w:tc>
          <w:tcPr>
            <w:tcW w:w="12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Layout w:type="fixed"/>
          <w:tblCellMar>
            <w:top w:w="0" w:type="dxa"/>
            <w:left w:w="108" w:type="dxa"/>
            <w:bottom w:w="0" w:type="dxa"/>
            <w:right w:w="108" w:type="dxa"/>
          </w:tblCellMar>
        </w:tblPrEx>
        <w:trPr>
          <w:cantSplit/>
          <w:trHeight w:val="555" w:hRule="atLeast"/>
          <w:jc w:val="center"/>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69" w:type="dxa"/>
            <w:vMerge w:val="restart"/>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r>
              <w:rPr>
                <w:rFonts w:hint="eastAsia" w:cs="方正仿宋_GBK"/>
                <w:kern w:val="0"/>
                <w:sz w:val="24"/>
                <w:szCs w:val="24"/>
              </w:rPr>
              <w:t>3.厂区道路应</w:t>
            </w:r>
            <w:r>
              <w:rPr>
                <w:rFonts w:hint="eastAsia" w:cs="方正仿宋_GBK"/>
                <w:sz w:val="24"/>
                <w:szCs w:val="24"/>
              </w:rPr>
              <w:t>当</w:t>
            </w:r>
            <w:r>
              <w:rPr>
                <w:rFonts w:hint="eastAsia" w:cs="方正仿宋_GBK"/>
                <w:kern w:val="0"/>
                <w:sz w:val="24"/>
                <w:szCs w:val="24"/>
              </w:rPr>
              <w:t>采用硬质材料铺设，厂区无扬尘或积水现象。厂区绿化应</w:t>
            </w:r>
            <w:r>
              <w:rPr>
                <w:rFonts w:hint="eastAsia" w:cs="方正仿宋_GBK"/>
                <w:sz w:val="24"/>
                <w:szCs w:val="24"/>
              </w:rPr>
              <w:t>当</w:t>
            </w:r>
            <w:r>
              <w:rPr>
                <w:rFonts w:hint="eastAsia" w:cs="方正仿宋_GBK"/>
                <w:kern w:val="0"/>
                <w:sz w:val="24"/>
                <w:szCs w:val="24"/>
              </w:rPr>
              <w:t>与生产车间保持适当距离，植被应</w:t>
            </w:r>
            <w:r>
              <w:rPr>
                <w:rFonts w:hint="eastAsia" w:cs="方正仿宋_GBK"/>
                <w:sz w:val="24"/>
                <w:szCs w:val="24"/>
              </w:rPr>
              <w:t>当</w:t>
            </w:r>
            <w:r>
              <w:rPr>
                <w:rFonts w:hint="eastAsia" w:cs="方正仿宋_GBK"/>
                <w:kern w:val="0"/>
                <w:sz w:val="24"/>
                <w:szCs w:val="24"/>
              </w:rPr>
              <w:t>定期维护，防止虫害孳生。</w:t>
            </w:r>
          </w:p>
        </w:tc>
        <w:tc>
          <w:tcPr>
            <w:tcW w:w="2976" w:type="dxa"/>
            <w:tcBorders>
              <w:top w:val="nil"/>
              <w:left w:val="nil"/>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符合规定要求。</w:t>
            </w:r>
          </w:p>
        </w:tc>
        <w:tc>
          <w:tcPr>
            <w:tcW w:w="426" w:type="dxa"/>
            <w:tcBorders>
              <w:top w:val="nil"/>
              <w:left w:val="nil"/>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3</w:t>
            </w:r>
          </w:p>
        </w:tc>
        <w:tc>
          <w:tcPr>
            <w:tcW w:w="1275" w:type="dxa"/>
            <w:vMerge w:val="restart"/>
            <w:tcBorders>
              <w:top w:val="nil"/>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　</w:t>
            </w:r>
          </w:p>
        </w:tc>
        <w:tc>
          <w:tcPr>
            <w:tcW w:w="2694" w:type="dxa"/>
            <w:vMerge w:val="restart"/>
            <w:tcBorders>
              <w:top w:val="nil"/>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p>
        </w:tc>
      </w:tr>
      <w:tr>
        <w:tblPrEx>
          <w:tblLayout w:type="fixed"/>
          <w:tblCellMar>
            <w:top w:w="0" w:type="dxa"/>
            <w:left w:w="108" w:type="dxa"/>
            <w:bottom w:w="0" w:type="dxa"/>
            <w:right w:w="108" w:type="dxa"/>
          </w:tblCellMar>
        </w:tblPrEx>
        <w:trPr>
          <w:cantSplit/>
          <w:trHeight w:val="419" w:hRule="atLeast"/>
          <w:jc w:val="center"/>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6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6" w:type="dxa"/>
            <w:tcBorders>
              <w:top w:val="nil"/>
              <w:left w:val="nil"/>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厂区环境略有不足。</w:t>
            </w:r>
          </w:p>
        </w:tc>
        <w:tc>
          <w:tcPr>
            <w:tcW w:w="426" w:type="dxa"/>
            <w:tcBorders>
              <w:top w:val="nil"/>
              <w:left w:val="nil"/>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1</w:t>
            </w:r>
          </w:p>
        </w:tc>
        <w:tc>
          <w:tcPr>
            <w:tcW w:w="12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Layout w:type="fixed"/>
          <w:tblCellMar>
            <w:top w:w="0" w:type="dxa"/>
            <w:left w:w="108" w:type="dxa"/>
            <w:bottom w:w="0" w:type="dxa"/>
            <w:right w:w="108" w:type="dxa"/>
          </w:tblCellMar>
        </w:tblPrEx>
        <w:trPr>
          <w:cantSplit/>
          <w:trHeight w:val="695" w:hRule="atLeast"/>
          <w:jc w:val="center"/>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6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6" w:type="dxa"/>
            <w:tcBorders>
              <w:top w:val="nil"/>
              <w:left w:val="nil"/>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厂区环境不符合规定要求。</w:t>
            </w:r>
          </w:p>
        </w:tc>
        <w:tc>
          <w:tcPr>
            <w:tcW w:w="426" w:type="dxa"/>
            <w:tcBorders>
              <w:top w:val="nil"/>
              <w:left w:val="nil"/>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0</w:t>
            </w:r>
          </w:p>
        </w:tc>
        <w:tc>
          <w:tcPr>
            <w:tcW w:w="12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Layout w:type="fixed"/>
          <w:tblCellMar>
            <w:top w:w="0" w:type="dxa"/>
            <w:left w:w="108" w:type="dxa"/>
            <w:bottom w:w="0" w:type="dxa"/>
            <w:right w:w="108" w:type="dxa"/>
          </w:tblCellMar>
        </w:tblPrEx>
        <w:trPr>
          <w:cantSplit/>
          <w:trHeight w:val="666" w:hRule="atLeast"/>
          <w:jc w:val="center"/>
        </w:trPr>
        <w:tc>
          <w:tcPr>
            <w:tcW w:w="724"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1.2</w:t>
            </w:r>
          </w:p>
        </w:tc>
        <w:tc>
          <w:tcPr>
            <w:tcW w:w="1418"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厂房和车间</w:t>
            </w:r>
          </w:p>
        </w:tc>
        <w:tc>
          <w:tcPr>
            <w:tcW w:w="3969" w:type="dxa"/>
            <w:vMerge w:val="restart"/>
            <w:tcBorders>
              <w:top w:val="nil"/>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1.应</w:t>
            </w:r>
            <w:r>
              <w:rPr>
                <w:rFonts w:hint="eastAsia" w:cs="方正仿宋_GBK"/>
                <w:sz w:val="24"/>
                <w:szCs w:val="24"/>
              </w:rPr>
              <w:t>当</w:t>
            </w:r>
            <w:r>
              <w:rPr>
                <w:rFonts w:hint="eastAsia" w:cs="方正仿宋_GBK"/>
                <w:kern w:val="0"/>
                <w:sz w:val="24"/>
                <w:szCs w:val="24"/>
              </w:rPr>
              <w:t>具有与生产的产品品种、数量相适应的厂房和车间，并根据生产工艺及清洁程度的要求合理布局和划分作业区，避免交叉污染；厂房内设置的检验室应</w:t>
            </w:r>
            <w:r>
              <w:rPr>
                <w:rFonts w:hint="eastAsia" w:cs="方正仿宋_GBK"/>
                <w:sz w:val="24"/>
                <w:szCs w:val="24"/>
              </w:rPr>
              <w:t>当</w:t>
            </w:r>
            <w:r>
              <w:rPr>
                <w:rFonts w:hint="eastAsia" w:cs="方正仿宋_GBK"/>
                <w:kern w:val="0"/>
                <w:sz w:val="24"/>
                <w:szCs w:val="24"/>
              </w:rPr>
              <w:t>与生产区域分隔。</w:t>
            </w:r>
          </w:p>
        </w:tc>
        <w:tc>
          <w:tcPr>
            <w:tcW w:w="2976" w:type="dxa"/>
            <w:tcBorders>
              <w:top w:val="nil"/>
              <w:left w:val="nil"/>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符合规定要求。</w:t>
            </w:r>
          </w:p>
        </w:tc>
        <w:tc>
          <w:tcPr>
            <w:tcW w:w="426" w:type="dxa"/>
            <w:tcBorders>
              <w:top w:val="nil"/>
              <w:left w:val="nil"/>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3</w:t>
            </w:r>
          </w:p>
        </w:tc>
        <w:tc>
          <w:tcPr>
            <w:tcW w:w="1275" w:type="dxa"/>
            <w:vMerge w:val="restart"/>
            <w:tcBorders>
              <w:top w:val="nil"/>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　</w:t>
            </w:r>
          </w:p>
        </w:tc>
        <w:tc>
          <w:tcPr>
            <w:tcW w:w="2694" w:type="dxa"/>
            <w:vMerge w:val="restart"/>
            <w:tcBorders>
              <w:top w:val="nil"/>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p>
        </w:tc>
      </w:tr>
      <w:tr>
        <w:tblPrEx>
          <w:tblLayout w:type="fixed"/>
          <w:tblCellMar>
            <w:top w:w="0" w:type="dxa"/>
            <w:left w:w="108" w:type="dxa"/>
            <w:bottom w:w="0" w:type="dxa"/>
            <w:right w:w="108" w:type="dxa"/>
          </w:tblCellMar>
        </w:tblPrEx>
        <w:trPr>
          <w:cantSplit/>
          <w:trHeight w:val="1115" w:hRule="atLeast"/>
          <w:jc w:val="center"/>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6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6" w:type="dxa"/>
            <w:tcBorders>
              <w:top w:val="nil"/>
              <w:left w:val="nil"/>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个别作业区布局和划分不太合理。</w:t>
            </w:r>
          </w:p>
        </w:tc>
        <w:tc>
          <w:tcPr>
            <w:tcW w:w="426" w:type="dxa"/>
            <w:tcBorders>
              <w:top w:val="nil"/>
              <w:left w:val="nil"/>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1</w:t>
            </w:r>
          </w:p>
        </w:tc>
        <w:tc>
          <w:tcPr>
            <w:tcW w:w="12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Layout w:type="fixed"/>
          <w:tblCellMar>
            <w:top w:w="0" w:type="dxa"/>
            <w:left w:w="108" w:type="dxa"/>
            <w:bottom w:w="0" w:type="dxa"/>
            <w:right w:w="108" w:type="dxa"/>
          </w:tblCellMar>
        </w:tblPrEx>
        <w:trPr>
          <w:cantSplit/>
          <w:trHeight w:val="1837" w:hRule="atLeast"/>
          <w:jc w:val="center"/>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6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6" w:type="dxa"/>
            <w:tcBorders>
              <w:top w:val="nil"/>
              <w:left w:val="nil"/>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厂房面积与空间不满足生产需求，或者各作业区布局和划分不合理，或者检验室未与生产区域分隔。</w:t>
            </w:r>
          </w:p>
        </w:tc>
        <w:tc>
          <w:tcPr>
            <w:tcW w:w="426" w:type="dxa"/>
            <w:tcBorders>
              <w:top w:val="nil"/>
              <w:left w:val="nil"/>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0</w:t>
            </w:r>
          </w:p>
        </w:tc>
        <w:tc>
          <w:tcPr>
            <w:tcW w:w="12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Layout w:type="fixed"/>
          <w:tblCellMar>
            <w:top w:w="0" w:type="dxa"/>
            <w:left w:w="108" w:type="dxa"/>
            <w:bottom w:w="0" w:type="dxa"/>
            <w:right w:w="108" w:type="dxa"/>
          </w:tblCellMar>
        </w:tblPrEx>
        <w:trPr>
          <w:cantSplit/>
          <w:trHeight w:val="828" w:hRule="atLeast"/>
          <w:jc w:val="center"/>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69" w:type="dxa"/>
            <w:vMerge w:val="restart"/>
            <w:tcBorders>
              <w:top w:val="nil"/>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2.车间保持清洁，顶棚、墙壁和地面应</w:t>
            </w:r>
            <w:r>
              <w:rPr>
                <w:rFonts w:hint="eastAsia" w:cs="方正仿宋_GBK"/>
                <w:sz w:val="24"/>
                <w:szCs w:val="24"/>
              </w:rPr>
              <w:t>当</w:t>
            </w:r>
            <w:r>
              <w:rPr>
                <w:rFonts w:hint="eastAsia" w:cs="方正仿宋_GBK"/>
                <w:kern w:val="0"/>
                <w:sz w:val="24"/>
                <w:szCs w:val="24"/>
              </w:rPr>
              <w:t>采用无毒、无味、防渗透、防霉、不易破损脱落的材料建造，易于清洁；顶棚在结构上</w:t>
            </w:r>
            <w:r>
              <w:rPr>
                <w:rFonts w:hint="eastAsia" w:cs="方正仿宋_GBK"/>
                <w:sz w:val="24"/>
                <w:szCs w:val="24"/>
              </w:rPr>
              <w:t>不利于</w:t>
            </w:r>
            <w:r>
              <w:rPr>
                <w:rFonts w:hint="eastAsia" w:cs="方正仿宋_GBK"/>
                <w:kern w:val="0"/>
                <w:sz w:val="24"/>
                <w:szCs w:val="24"/>
              </w:rPr>
              <w:t>冷凝水垂直滴落，裸露食品上方的管路应</w:t>
            </w:r>
            <w:r>
              <w:rPr>
                <w:rFonts w:hint="eastAsia" w:cs="方正仿宋_GBK"/>
                <w:sz w:val="24"/>
                <w:szCs w:val="24"/>
              </w:rPr>
              <w:t>当</w:t>
            </w:r>
            <w:r>
              <w:rPr>
                <w:rFonts w:hint="eastAsia" w:cs="方正仿宋_GBK"/>
                <w:kern w:val="0"/>
                <w:sz w:val="24"/>
                <w:szCs w:val="24"/>
              </w:rPr>
              <w:t>有防止灰尘散落及水滴掉落的措施；门窗应</w:t>
            </w:r>
            <w:r>
              <w:rPr>
                <w:rFonts w:hint="eastAsia" w:cs="方正仿宋_GBK"/>
                <w:sz w:val="24"/>
                <w:szCs w:val="24"/>
              </w:rPr>
              <w:t>当</w:t>
            </w:r>
            <w:r>
              <w:rPr>
                <w:rFonts w:hint="eastAsia" w:cs="方正仿宋_GBK"/>
                <w:kern w:val="0"/>
                <w:sz w:val="24"/>
                <w:szCs w:val="24"/>
              </w:rPr>
              <w:t>闭合严密，不透水、不变形，并有防止虫害侵入的措施。</w:t>
            </w:r>
          </w:p>
        </w:tc>
        <w:tc>
          <w:tcPr>
            <w:tcW w:w="2976" w:type="dxa"/>
            <w:tcBorders>
              <w:top w:val="nil"/>
              <w:left w:val="nil"/>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符合规定要求。</w:t>
            </w:r>
          </w:p>
        </w:tc>
        <w:tc>
          <w:tcPr>
            <w:tcW w:w="426" w:type="dxa"/>
            <w:tcBorders>
              <w:top w:val="nil"/>
              <w:left w:val="nil"/>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3</w:t>
            </w:r>
          </w:p>
        </w:tc>
        <w:tc>
          <w:tcPr>
            <w:tcW w:w="1275" w:type="dxa"/>
            <w:vMerge w:val="restart"/>
            <w:tcBorders>
              <w:top w:val="nil"/>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　</w:t>
            </w:r>
          </w:p>
        </w:tc>
        <w:tc>
          <w:tcPr>
            <w:tcW w:w="2694" w:type="dxa"/>
            <w:vMerge w:val="restart"/>
            <w:tcBorders>
              <w:top w:val="nil"/>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p>
        </w:tc>
      </w:tr>
      <w:tr>
        <w:tblPrEx>
          <w:tblLayout w:type="fixed"/>
          <w:tblCellMar>
            <w:top w:w="0" w:type="dxa"/>
            <w:left w:w="108" w:type="dxa"/>
            <w:bottom w:w="0" w:type="dxa"/>
            <w:right w:w="108" w:type="dxa"/>
          </w:tblCellMar>
        </w:tblPrEx>
        <w:trPr>
          <w:cantSplit/>
          <w:trHeight w:val="1705" w:hRule="atLeast"/>
          <w:jc w:val="center"/>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6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6" w:type="dxa"/>
            <w:tcBorders>
              <w:top w:val="nil"/>
              <w:left w:val="nil"/>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车间清洁程度以及顶棚、墙壁、地面和门窗或者相关防护措施略有不足。</w:t>
            </w:r>
          </w:p>
        </w:tc>
        <w:tc>
          <w:tcPr>
            <w:tcW w:w="426" w:type="dxa"/>
            <w:tcBorders>
              <w:top w:val="nil"/>
              <w:left w:val="nil"/>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1</w:t>
            </w:r>
          </w:p>
        </w:tc>
        <w:tc>
          <w:tcPr>
            <w:tcW w:w="12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Layout w:type="fixed"/>
          <w:tblCellMar>
            <w:top w:w="0" w:type="dxa"/>
            <w:left w:w="108" w:type="dxa"/>
            <w:bottom w:w="0" w:type="dxa"/>
            <w:right w:w="108" w:type="dxa"/>
          </w:tblCellMar>
        </w:tblPrEx>
        <w:trPr>
          <w:cantSplit/>
          <w:trHeight w:val="1699" w:hRule="atLeast"/>
          <w:jc w:val="center"/>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6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6" w:type="dxa"/>
            <w:tcBorders>
              <w:top w:val="nil"/>
              <w:left w:val="nil"/>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严重不符合规定要求。</w:t>
            </w:r>
          </w:p>
        </w:tc>
        <w:tc>
          <w:tcPr>
            <w:tcW w:w="426" w:type="dxa"/>
            <w:tcBorders>
              <w:top w:val="nil"/>
              <w:left w:val="nil"/>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0</w:t>
            </w:r>
          </w:p>
        </w:tc>
        <w:tc>
          <w:tcPr>
            <w:tcW w:w="12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Layout w:type="fixed"/>
          <w:tblCellMar>
            <w:top w:w="0" w:type="dxa"/>
            <w:left w:w="108" w:type="dxa"/>
            <w:bottom w:w="0" w:type="dxa"/>
            <w:right w:w="108" w:type="dxa"/>
          </w:tblCellMar>
        </w:tblPrEx>
        <w:trPr>
          <w:cantSplit/>
          <w:trHeight w:val="666" w:hRule="atLeast"/>
          <w:jc w:val="center"/>
        </w:trPr>
        <w:tc>
          <w:tcPr>
            <w:tcW w:w="724"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1.3</w:t>
            </w:r>
          </w:p>
        </w:tc>
        <w:tc>
          <w:tcPr>
            <w:tcW w:w="1418"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库房要求</w:t>
            </w:r>
          </w:p>
        </w:tc>
        <w:tc>
          <w:tcPr>
            <w:tcW w:w="396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1.库房整洁，地面平整，易于维护、清洁，防止虫害侵入和藏匿。必要时库房应</w:t>
            </w:r>
            <w:r>
              <w:rPr>
                <w:rFonts w:hint="eastAsia" w:cs="方正仿宋_GBK"/>
                <w:sz w:val="24"/>
                <w:szCs w:val="24"/>
              </w:rPr>
              <w:t>当</w:t>
            </w:r>
            <w:r>
              <w:rPr>
                <w:rFonts w:hint="eastAsia" w:cs="方正仿宋_GBK"/>
                <w:kern w:val="0"/>
                <w:sz w:val="24"/>
                <w:szCs w:val="24"/>
              </w:rPr>
              <w:t>设置相适应的温度、湿度控制等设施。</w:t>
            </w:r>
          </w:p>
        </w:tc>
        <w:tc>
          <w:tcPr>
            <w:tcW w:w="2976" w:type="dxa"/>
            <w:tcBorders>
              <w:top w:val="nil"/>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符合规定要求。</w:t>
            </w:r>
          </w:p>
        </w:tc>
        <w:tc>
          <w:tcPr>
            <w:tcW w:w="426" w:type="dxa"/>
            <w:tcBorders>
              <w:top w:val="nil"/>
              <w:left w:val="nil"/>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3</w:t>
            </w:r>
          </w:p>
        </w:tc>
        <w:tc>
          <w:tcPr>
            <w:tcW w:w="1275" w:type="dxa"/>
            <w:vMerge w:val="restart"/>
            <w:tcBorders>
              <w:top w:val="nil"/>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　</w:t>
            </w:r>
          </w:p>
        </w:tc>
        <w:tc>
          <w:tcPr>
            <w:tcW w:w="2694" w:type="dxa"/>
            <w:vMerge w:val="restart"/>
            <w:tcBorders>
              <w:top w:val="nil"/>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p>
        </w:tc>
      </w:tr>
      <w:tr>
        <w:tblPrEx>
          <w:tblLayout w:type="fixed"/>
          <w:tblCellMar>
            <w:top w:w="0" w:type="dxa"/>
            <w:left w:w="108" w:type="dxa"/>
            <w:bottom w:w="0" w:type="dxa"/>
            <w:right w:w="108" w:type="dxa"/>
          </w:tblCellMar>
        </w:tblPrEx>
        <w:trPr>
          <w:cantSplit/>
          <w:trHeight w:val="973" w:hRule="atLeast"/>
          <w:jc w:val="center"/>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6" w:type="dxa"/>
            <w:tcBorders>
              <w:top w:val="nil"/>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库房整洁程度或者相关设施略有不足。</w:t>
            </w:r>
          </w:p>
        </w:tc>
        <w:tc>
          <w:tcPr>
            <w:tcW w:w="426" w:type="dxa"/>
            <w:tcBorders>
              <w:top w:val="nil"/>
              <w:left w:val="nil"/>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1</w:t>
            </w:r>
          </w:p>
        </w:tc>
        <w:tc>
          <w:tcPr>
            <w:tcW w:w="12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Layout w:type="fixed"/>
          <w:tblCellMar>
            <w:top w:w="0" w:type="dxa"/>
            <w:left w:w="108" w:type="dxa"/>
            <w:bottom w:w="0" w:type="dxa"/>
            <w:right w:w="108" w:type="dxa"/>
          </w:tblCellMar>
        </w:tblPrEx>
        <w:trPr>
          <w:cantSplit/>
          <w:trHeight w:val="703" w:hRule="atLeast"/>
          <w:jc w:val="center"/>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6" w:type="dxa"/>
            <w:tcBorders>
              <w:top w:val="nil"/>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严重不符合规定要求。</w:t>
            </w:r>
          </w:p>
        </w:tc>
        <w:tc>
          <w:tcPr>
            <w:tcW w:w="426" w:type="dxa"/>
            <w:tcBorders>
              <w:top w:val="nil"/>
              <w:left w:val="nil"/>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0</w:t>
            </w:r>
          </w:p>
        </w:tc>
        <w:tc>
          <w:tcPr>
            <w:tcW w:w="12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Layout w:type="fixed"/>
          <w:tblCellMar>
            <w:top w:w="0" w:type="dxa"/>
            <w:left w:w="108" w:type="dxa"/>
            <w:bottom w:w="0" w:type="dxa"/>
            <w:right w:w="108" w:type="dxa"/>
          </w:tblCellMar>
        </w:tblPrEx>
        <w:trPr>
          <w:cantSplit/>
          <w:trHeight w:val="699" w:hRule="atLeast"/>
          <w:jc w:val="center"/>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6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2.原辅料、半成品、成品等物料应当依据性质的不同分设库房或分区存放。清洁剂、消毒剂、杀虫剂、润滑剂、燃料等物料应当与原辅料、半成品、成品等物料分隔放置。库房内的物料应</w:t>
            </w:r>
            <w:r>
              <w:rPr>
                <w:rFonts w:hint="eastAsia" w:cs="方正仿宋_GBK"/>
                <w:sz w:val="24"/>
                <w:szCs w:val="24"/>
              </w:rPr>
              <w:t>当</w:t>
            </w:r>
            <w:r>
              <w:rPr>
                <w:rFonts w:hint="eastAsia" w:cs="方正仿宋_GBK"/>
                <w:kern w:val="0"/>
                <w:sz w:val="24"/>
                <w:szCs w:val="24"/>
              </w:rPr>
              <w:t>与墙壁、地面保持适当距离，并明确标识，防止交叉污染。</w:t>
            </w:r>
          </w:p>
        </w:tc>
        <w:tc>
          <w:tcPr>
            <w:tcW w:w="2976" w:type="dxa"/>
            <w:tcBorders>
              <w:top w:val="nil"/>
              <w:left w:val="nil"/>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符合规定要求。</w:t>
            </w:r>
          </w:p>
        </w:tc>
        <w:tc>
          <w:tcPr>
            <w:tcW w:w="426" w:type="dxa"/>
            <w:tcBorders>
              <w:top w:val="nil"/>
              <w:left w:val="nil"/>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3</w:t>
            </w:r>
          </w:p>
        </w:tc>
        <w:tc>
          <w:tcPr>
            <w:tcW w:w="1275" w:type="dxa"/>
            <w:vMerge w:val="restart"/>
            <w:tcBorders>
              <w:top w:val="nil"/>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　</w:t>
            </w:r>
          </w:p>
        </w:tc>
        <w:tc>
          <w:tcPr>
            <w:tcW w:w="2694" w:type="dxa"/>
            <w:vMerge w:val="restart"/>
            <w:tcBorders>
              <w:top w:val="nil"/>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p>
        </w:tc>
      </w:tr>
      <w:tr>
        <w:tblPrEx>
          <w:tblLayout w:type="fixed"/>
          <w:tblCellMar>
            <w:top w:w="0" w:type="dxa"/>
            <w:left w:w="108" w:type="dxa"/>
            <w:bottom w:w="0" w:type="dxa"/>
            <w:right w:w="108" w:type="dxa"/>
          </w:tblCellMar>
        </w:tblPrEx>
        <w:trPr>
          <w:cantSplit/>
          <w:trHeight w:val="708" w:hRule="atLeast"/>
          <w:jc w:val="center"/>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6" w:type="dxa"/>
            <w:tcBorders>
              <w:top w:val="nil"/>
              <w:left w:val="nil"/>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物料存放或标识略有不足。</w:t>
            </w:r>
          </w:p>
        </w:tc>
        <w:tc>
          <w:tcPr>
            <w:tcW w:w="426" w:type="dxa"/>
            <w:tcBorders>
              <w:top w:val="nil"/>
              <w:left w:val="nil"/>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1</w:t>
            </w:r>
          </w:p>
        </w:tc>
        <w:tc>
          <w:tcPr>
            <w:tcW w:w="12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Layout w:type="fixed"/>
          <w:tblCellMar>
            <w:top w:w="0" w:type="dxa"/>
            <w:left w:w="108" w:type="dxa"/>
            <w:bottom w:w="0" w:type="dxa"/>
            <w:right w:w="108" w:type="dxa"/>
          </w:tblCellMar>
        </w:tblPrEx>
        <w:trPr>
          <w:cantSplit/>
          <w:trHeight w:val="1825" w:hRule="atLeast"/>
          <w:jc w:val="center"/>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6" w:type="dxa"/>
            <w:tcBorders>
              <w:top w:val="nil"/>
              <w:left w:val="nil"/>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原辅料、半成品、成品等与清洁剂、消毒剂、杀虫剂、润滑剂、燃料等物料未分隔存放；物料无标识或标识混乱。</w:t>
            </w:r>
          </w:p>
        </w:tc>
        <w:tc>
          <w:tcPr>
            <w:tcW w:w="426" w:type="dxa"/>
            <w:tcBorders>
              <w:top w:val="nil"/>
              <w:left w:val="nil"/>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0</w:t>
            </w:r>
          </w:p>
        </w:tc>
        <w:tc>
          <w:tcPr>
            <w:tcW w:w="12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bl>
    <w:p>
      <w:pPr>
        <w:spacing w:before="589" w:beforeLines="100" w:after="294" w:afterLines="50" w:line="400" w:lineRule="exact"/>
        <w:jc w:val="center"/>
        <w:outlineLvl w:val="0"/>
        <w:rPr>
          <w:rFonts w:eastAsia="方正黑体_GBK" w:cs="方正黑体_GBK"/>
          <w:szCs w:val="32"/>
        </w:rPr>
      </w:pPr>
      <w:r>
        <w:rPr>
          <w:rFonts w:hint="eastAsia" w:eastAsia="方正黑体_GBK" w:cs="方正黑体_GBK"/>
          <w:szCs w:val="32"/>
        </w:rPr>
        <w:br w:type="page"/>
      </w:r>
    </w:p>
    <w:p>
      <w:pPr>
        <w:spacing w:before="589" w:beforeLines="100" w:after="294" w:afterLines="50" w:line="400" w:lineRule="exact"/>
        <w:jc w:val="center"/>
        <w:outlineLvl w:val="0"/>
        <w:rPr>
          <w:rFonts w:eastAsia="方正黑体_GBK" w:cs="方正黑体_GBK"/>
          <w:szCs w:val="32"/>
        </w:rPr>
      </w:pPr>
      <w:r>
        <w:rPr>
          <w:rFonts w:hint="eastAsia" w:eastAsia="方正黑体_GBK" w:cs="方正黑体_GBK"/>
          <w:szCs w:val="32"/>
        </w:rPr>
        <w:t>二、设备设施（共33分）</w:t>
      </w:r>
    </w:p>
    <w:tbl>
      <w:tblPr>
        <w:tblStyle w:val="9"/>
        <w:tblW w:w="134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418"/>
        <w:gridCol w:w="3970"/>
        <w:gridCol w:w="2977"/>
        <w:gridCol w:w="426"/>
        <w:gridCol w:w="1275"/>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blHeader/>
          <w:jc w:val="center"/>
        </w:trPr>
        <w:tc>
          <w:tcPr>
            <w:tcW w:w="72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方正黑体_GBK" w:cs="方正黑体_GBK"/>
                <w:bCs/>
                <w:kern w:val="0"/>
                <w:sz w:val="24"/>
                <w:szCs w:val="24"/>
              </w:rPr>
            </w:pPr>
            <w:r>
              <w:rPr>
                <w:rFonts w:hint="eastAsia" w:eastAsia="方正黑体_GBK" w:cs="方正黑体_GBK"/>
                <w:bCs/>
                <w:kern w:val="0"/>
                <w:sz w:val="24"/>
                <w:szCs w:val="24"/>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方正黑体_GBK" w:cs="方正黑体_GBK"/>
                <w:bCs/>
                <w:kern w:val="0"/>
                <w:sz w:val="24"/>
                <w:szCs w:val="24"/>
              </w:rPr>
            </w:pPr>
            <w:r>
              <w:rPr>
                <w:rFonts w:hint="eastAsia" w:eastAsia="方正黑体_GBK" w:cs="方正黑体_GBK"/>
                <w:bCs/>
                <w:kern w:val="0"/>
                <w:sz w:val="24"/>
                <w:szCs w:val="24"/>
              </w:rPr>
              <w:t>检查项目</w:t>
            </w:r>
          </w:p>
        </w:tc>
        <w:tc>
          <w:tcPr>
            <w:tcW w:w="39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方正黑体_GBK" w:cs="方正黑体_GBK"/>
                <w:bCs/>
                <w:kern w:val="0"/>
                <w:sz w:val="24"/>
                <w:szCs w:val="24"/>
              </w:rPr>
            </w:pPr>
            <w:r>
              <w:rPr>
                <w:rFonts w:hint="eastAsia" w:eastAsia="方正黑体_GBK" w:cs="方正黑体_GBK"/>
                <w:bCs/>
                <w:kern w:val="0"/>
                <w:sz w:val="24"/>
                <w:szCs w:val="24"/>
              </w:rPr>
              <w:t>检查内容</w:t>
            </w:r>
          </w:p>
        </w:tc>
        <w:tc>
          <w:tcPr>
            <w:tcW w:w="340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方正黑体_GBK" w:cs="方正黑体_GBK"/>
                <w:bCs/>
                <w:kern w:val="0"/>
                <w:sz w:val="24"/>
                <w:szCs w:val="24"/>
              </w:rPr>
            </w:pPr>
            <w:r>
              <w:rPr>
                <w:rFonts w:hint="eastAsia" w:eastAsia="方正黑体_GBK" w:cs="方正黑体_GBK"/>
                <w:bCs/>
                <w:kern w:val="0"/>
                <w:sz w:val="24"/>
                <w:szCs w:val="24"/>
              </w:rPr>
              <w:t>评分标准</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方正黑体_GBK" w:cs="方正黑体_GBK"/>
                <w:bCs/>
                <w:kern w:val="0"/>
                <w:sz w:val="24"/>
                <w:szCs w:val="24"/>
              </w:rPr>
            </w:pPr>
            <w:r>
              <w:rPr>
                <w:rFonts w:hint="eastAsia" w:eastAsia="方正黑体_GBK" w:cs="方正黑体_GBK"/>
                <w:bCs/>
                <w:kern w:val="0"/>
                <w:sz w:val="24"/>
                <w:szCs w:val="24"/>
              </w:rPr>
              <w:t>检查得分</w:t>
            </w:r>
          </w:p>
        </w:tc>
        <w:tc>
          <w:tcPr>
            <w:tcW w:w="26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方正黑体_GBK" w:cs="方正黑体_GBK"/>
                <w:bCs/>
                <w:kern w:val="0"/>
                <w:sz w:val="24"/>
                <w:szCs w:val="24"/>
              </w:rPr>
            </w:pPr>
            <w:r>
              <w:rPr>
                <w:rFonts w:hint="eastAsia" w:eastAsia="方正黑体_GBK" w:cs="方正黑体_GBK"/>
                <w:bCs/>
                <w:kern w:val="0"/>
                <w:sz w:val="24"/>
                <w:szCs w:val="24"/>
              </w:rPr>
              <w:t>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9" w:hRule="atLeast"/>
          <w:jc w:val="center"/>
        </w:trPr>
        <w:tc>
          <w:tcPr>
            <w:tcW w:w="7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2.1</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生产设备</w:t>
            </w:r>
          </w:p>
        </w:tc>
        <w:tc>
          <w:tcPr>
            <w:tcW w:w="39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1.应</w:t>
            </w:r>
            <w:r>
              <w:rPr>
                <w:rFonts w:hint="eastAsia" w:cs="方正仿宋_GBK"/>
                <w:sz w:val="24"/>
                <w:szCs w:val="24"/>
              </w:rPr>
              <w:t>当</w:t>
            </w:r>
            <w:r>
              <w:rPr>
                <w:rFonts w:hint="eastAsia" w:cs="方正仿宋_GBK"/>
                <w:kern w:val="0"/>
                <w:sz w:val="24"/>
                <w:szCs w:val="24"/>
              </w:rPr>
              <w:t>配备与生产的产品品种、数量相适应的生产设备，设备的性能和精度应</w:t>
            </w:r>
            <w:r>
              <w:rPr>
                <w:rFonts w:hint="eastAsia" w:cs="方正仿宋_GBK"/>
                <w:sz w:val="24"/>
                <w:szCs w:val="24"/>
              </w:rPr>
              <w:t>当</w:t>
            </w:r>
            <w:r>
              <w:rPr>
                <w:rFonts w:hint="eastAsia" w:cs="方正仿宋_GBK"/>
                <w:kern w:val="0"/>
                <w:sz w:val="24"/>
                <w:szCs w:val="24"/>
              </w:rPr>
              <w:t>满足生产加工的要求。</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符合规定要求。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3</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　</w:t>
            </w:r>
          </w:p>
        </w:tc>
        <w:tc>
          <w:tcPr>
            <w:tcW w:w="269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方正仿宋_GBK"/>
                <w:kern w:val="0"/>
                <w:sz w:val="24"/>
                <w:szCs w:val="24"/>
              </w:rPr>
            </w:pPr>
            <w:r>
              <w:rPr>
                <w:rFonts w:hint="eastAsia" w:cs="方正仿宋_GBK"/>
                <w:kern w:val="0"/>
                <w:sz w:val="24"/>
                <w:szCs w:val="24"/>
              </w:rPr>
              <w:t>个别设备的性能和精度略有不足。</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1</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方正仿宋_GBK"/>
                <w:kern w:val="0"/>
                <w:sz w:val="24"/>
                <w:szCs w:val="24"/>
              </w:rPr>
            </w:pPr>
            <w:r>
              <w:rPr>
                <w:rFonts w:hint="eastAsia" w:cs="方正仿宋_GBK"/>
                <w:kern w:val="0"/>
                <w:sz w:val="24"/>
                <w:szCs w:val="24"/>
              </w:rPr>
              <w:t>生产设备不满足生产加工要求。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0</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2.生产设备清洁卫生，直接接触食品的设备、工器具材质应</w:t>
            </w:r>
            <w:r>
              <w:rPr>
                <w:rFonts w:hint="eastAsia" w:cs="方正仿宋_GBK"/>
                <w:sz w:val="24"/>
                <w:szCs w:val="24"/>
              </w:rPr>
              <w:t>当</w:t>
            </w:r>
            <w:r>
              <w:rPr>
                <w:rFonts w:hint="eastAsia" w:cs="方正仿宋_GBK"/>
                <w:kern w:val="0"/>
                <w:sz w:val="24"/>
                <w:szCs w:val="24"/>
              </w:rPr>
              <w:t>无毒、无味、抗腐蚀、不易脱落，表面光滑、无吸收性，易于清洁保养和消毒。</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符合规定要求。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3</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　</w:t>
            </w:r>
          </w:p>
        </w:tc>
        <w:tc>
          <w:tcPr>
            <w:tcW w:w="269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设备清洁卫生程度或者设备材质略有不足。</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1</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1"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严重不符合规定要求。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0</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jc w:val="center"/>
        </w:trPr>
        <w:tc>
          <w:tcPr>
            <w:tcW w:w="7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2.2</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供排水设施</w:t>
            </w:r>
          </w:p>
        </w:tc>
        <w:tc>
          <w:tcPr>
            <w:tcW w:w="39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1.食品加工用水的水质应</w:t>
            </w:r>
            <w:r>
              <w:rPr>
                <w:rFonts w:hint="eastAsia" w:cs="方正仿宋_GBK"/>
                <w:sz w:val="24"/>
                <w:szCs w:val="24"/>
              </w:rPr>
              <w:t>当</w:t>
            </w:r>
            <w:r>
              <w:rPr>
                <w:rFonts w:hint="eastAsia" w:cs="方正仿宋_GBK"/>
                <w:kern w:val="0"/>
                <w:sz w:val="24"/>
                <w:szCs w:val="24"/>
              </w:rPr>
              <w:t>符合GB 5749的规定，有特殊要求的应</w:t>
            </w:r>
            <w:r>
              <w:rPr>
                <w:rFonts w:hint="eastAsia" w:cs="方正仿宋_GBK"/>
                <w:sz w:val="24"/>
                <w:szCs w:val="24"/>
              </w:rPr>
              <w:t>当</w:t>
            </w:r>
            <w:r>
              <w:rPr>
                <w:rFonts w:hint="eastAsia" w:cs="方正仿宋_GBK"/>
                <w:kern w:val="0"/>
                <w:sz w:val="24"/>
                <w:szCs w:val="24"/>
              </w:rPr>
              <w:t>符合相应规定。食品加工用水与其他不与食品接触的用水应</w:t>
            </w:r>
            <w:r>
              <w:rPr>
                <w:rFonts w:hint="eastAsia" w:cs="方正仿宋_GBK"/>
                <w:sz w:val="24"/>
                <w:szCs w:val="24"/>
              </w:rPr>
              <w:t>当</w:t>
            </w:r>
            <w:r>
              <w:rPr>
                <w:rFonts w:hint="eastAsia" w:cs="方正仿宋_GBK"/>
                <w:kern w:val="0"/>
                <w:sz w:val="24"/>
                <w:szCs w:val="24"/>
              </w:rPr>
              <w:t>以完全分离的管路输送，避免交叉污染，各管路系统应</w:t>
            </w:r>
            <w:r>
              <w:rPr>
                <w:rFonts w:hint="eastAsia" w:cs="方正仿宋_GBK"/>
                <w:sz w:val="24"/>
                <w:szCs w:val="24"/>
              </w:rPr>
              <w:t>当</w:t>
            </w:r>
            <w:r>
              <w:rPr>
                <w:rFonts w:hint="eastAsia" w:cs="方正仿宋_GBK"/>
                <w:kern w:val="0"/>
                <w:sz w:val="24"/>
                <w:szCs w:val="24"/>
              </w:rPr>
              <w:t>明确标识以便区分。</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符合规定要求。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3</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　</w:t>
            </w:r>
          </w:p>
        </w:tc>
        <w:tc>
          <w:tcPr>
            <w:tcW w:w="269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供水管路标识略有不足。</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1</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4"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食品加工用水的水质不符合规定要求，或者供水管路无标识或标识混乱，或者供水管路存在交叉污染。</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0</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2.室内排水应当由清洁程度高的区域流向清洁程度低的区域，且有防止逆流的措施。排水系统出入口设计合理并有防止污染和虫害侵入的措施。</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符合规定要求。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3</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　</w:t>
            </w:r>
          </w:p>
        </w:tc>
        <w:tc>
          <w:tcPr>
            <w:tcW w:w="26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相关防护措施略有不足。</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1</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5"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室内排水流向不符合要求，或者相关防护措施严重不足。</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0</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atLeast"/>
          <w:jc w:val="center"/>
        </w:trPr>
        <w:tc>
          <w:tcPr>
            <w:tcW w:w="7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2.3</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清洁消毒设施</w:t>
            </w:r>
          </w:p>
        </w:tc>
        <w:tc>
          <w:tcPr>
            <w:tcW w:w="39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应</w:t>
            </w:r>
            <w:r>
              <w:rPr>
                <w:rFonts w:hint="eastAsia" w:cs="方正仿宋_GBK"/>
                <w:sz w:val="24"/>
                <w:szCs w:val="24"/>
              </w:rPr>
              <w:t>当</w:t>
            </w:r>
            <w:r>
              <w:rPr>
                <w:rFonts w:hint="eastAsia" w:cs="方正仿宋_GBK"/>
                <w:kern w:val="0"/>
                <w:sz w:val="24"/>
                <w:szCs w:val="24"/>
              </w:rPr>
              <w:t>配备相应的食品、工器具和设备的清洁设施，必要时配备相应的消毒设施。清洁、消毒方式应</w:t>
            </w:r>
            <w:r>
              <w:rPr>
                <w:rFonts w:hint="eastAsia" w:cs="方正仿宋_GBK"/>
                <w:sz w:val="24"/>
                <w:szCs w:val="24"/>
              </w:rPr>
              <w:t>当</w:t>
            </w:r>
            <w:r>
              <w:rPr>
                <w:rFonts w:hint="eastAsia" w:cs="方正仿宋_GBK"/>
                <w:kern w:val="0"/>
                <w:sz w:val="24"/>
                <w:szCs w:val="24"/>
              </w:rPr>
              <w:t>避免对食品造成交叉污染，使用的洗涤剂、消毒剂应当符合相关规定要求。</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符合规定要求。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3</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　</w:t>
            </w:r>
          </w:p>
        </w:tc>
        <w:tc>
          <w:tcPr>
            <w:tcW w:w="26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清洁消毒设施略有不足。</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1</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8"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清洁消毒设施严重不足，或者清洁消毒的方式、用品不符合规定要求。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0</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7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2.4</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废弃物存放设施</w:t>
            </w:r>
          </w:p>
        </w:tc>
        <w:tc>
          <w:tcPr>
            <w:tcW w:w="39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应</w:t>
            </w:r>
            <w:r>
              <w:rPr>
                <w:rFonts w:hint="eastAsia" w:cs="方正仿宋_GBK"/>
                <w:sz w:val="24"/>
                <w:szCs w:val="24"/>
              </w:rPr>
              <w:t>当</w:t>
            </w:r>
            <w:r>
              <w:rPr>
                <w:rFonts w:hint="eastAsia" w:cs="方正仿宋_GBK"/>
                <w:kern w:val="0"/>
                <w:sz w:val="24"/>
                <w:szCs w:val="24"/>
              </w:rPr>
              <w:t>配备设计合理、防止渗漏、易于清洁的存放废弃物的专用设施。车间内存放废弃物的设施和容器应</w:t>
            </w:r>
            <w:r>
              <w:rPr>
                <w:rFonts w:hint="eastAsia" w:cs="方正仿宋_GBK"/>
                <w:sz w:val="24"/>
                <w:szCs w:val="24"/>
              </w:rPr>
              <w:t>当</w:t>
            </w:r>
            <w:r>
              <w:rPr>
                <w:rFonts w:hint="eastAsia" w:cs="方正仿宋_GBK"/>
                <w:kern w:val="0"/>
                <w:sz w:val="24"/>
                <w:szCs w:val="24"/>
              </w:rPr>
              <w:t>标识清晰，不得与盛装原辅料、半成品、成品的容器混用。</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符合规定要求。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3</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　</w:t>
            </w:r>
          </w:p>
        </w:tc>
        <w:tc>
          <w:tcPr>
            <w:tcW w:w="269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6"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废弃物存放设施及标识略有不足。</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1</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3"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废弃物存放设施设计不合理，或者与盛装原辅料、半成品、成品的容器混用。</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0</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jc w:val="center"/>
        </w:trPr>
        <w:tc>
          <w:tcPr>
            <w:tcW w:w="7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2.5</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个人卫生设施　</w:t>
            </w:r>
          </w:p>
        </w:tc>
        <w:tc>
          <w:tcPr>
            <w:tcW w:w="39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生产场所或车间入口处应</w:t>
            </w:r>
            <w:r>
              <w:rPr>
                <w:rFonts w:hint="eastAsia" w:cs="方正仿宋_GBK"/>
                <w:sz w:val="24"/>
                <w:szCs w:val="24"/>
              </w:rPr>
              <w:t>当</w:t>
            </w:r>
            <w:r>
              <w:rPr>
                <w:rFonts w:hint="eastAsia" w:cs="方正仿宋_GBK"/>
                <w:kern w:val="0"/>
                <w:sz w:val="24"/>
                <w:szCs w:val="24"/>
              </w:rPr>
              <w:t>设置更衣室，更衣室应</w:t>
            </w:r>
            <w:r>
              <w:rPr>
                <w:rFonts w:hint="eastAsia" w:cs="方正仿宋_GBK"/>
                <w:sz w:val="24"/>
                <w:szCs w:val="24"/>
              </w:rPr>
              <w:t>当</w:t>
            </w:r>
            <w:r>
              <w:rPr>
                <w:rFonts w:hint="eastAsia" w:cs="方正仿宋_GBK"/>
                <w:kern w:val="0"/>
                <w:sz w:val="24"/>
                <w:szCs w:val="24"/>
              </w:rPr>
              <w:t>保证工作服与个人服装及其他物品分开放置；车间入口及车间内必要处，应</w:t>
            </w:r>
            <w:r>
              <w:rPr>
                <w:rFonts w:hint="eastAsia" w:cs="方正仿宋_GBK"/>
                <w:sz w:val="24"/>
                <w:szCs w:val="24"/>
              </w:rPr>
              <w:t>当</w:t>
            </w:r>
            <w:r>
              <w:rPr>
                <w:rFonts w:hint="eastAsia" w:cs="方正仿宋_GBK"/>
                <w:kern w:val="0"/>
                <w:sz w:val="24"/>
                <w:szCs w:val="24"/>
              </w:rPr>
              <w:t>按需设置换鞋（穿戴鞋套）设施或鞋靴消毒设施；清洁作业区入口应</w:t>
            </w:r>
            <w:r>
              <w:rPr>
                <w:rFonts w:hint="eastAsia" w:cs="方正仿宋_GBK"/>
                <w:sz w:val="24"/>
                <w:szCs w:val="24"/>
              </w:rPr>
              <w:t>当</w:t>
            </w:r>
            <w:r>
              <w:rPr>
                <w:rFonts w:hint="eastAsia" w:cs="方正仿宋_GBK"/>
                <w:kern w:val="0"/>
                <w:sz w:val="24"/>
                <w:szCs w:val="24"/>
              </w:rPr>
              <w:t>设置与生产加工人员数量相匹配的非手动式洗手、干手和消毒设施。卫生间不得与生产、包装或贮存等区域直接连通。</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符合规定要求。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3</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　</w:t>
            </w:r>
          </w:p>
        </w:tc>
        <w:tc>
          <w:tcPr>
            <w:tcW w:w="269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个人卫生设施略有不足。</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1</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3"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个人卫生设施严重不符合规范要求，或者卫生间与生产、包装、贮存等区域直接连通。</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0</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jc w:val="center"/>
        </w:trPr>
        <w:tc>
          <w:tcPr>
            <w:tcW w:w="7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2.6</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通风设施</w:t>
            </w:r>
          </w:p>
        </w:tc>
        <w:tc>
          <w:tcPr>
            <w:tcW w:w="39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应</w:t>
            </w:r>
            <w:r>
              <w:rPr>
                <w:rFonts w:hint="eastAsia" w:cs="方正仿宋_GBK"/>
                <w:sz w:val="24"/>
                <w:szCs w:val="24"/>
              </w:rPr>
              <w:t>当</w:t>
            </w:r>
            <w:r>
              <w:rPr>
                <w:rFonts w:hint="eastAsia" w:cs="方正仿宋_GBK"/>
                <w:kern w:val="0"/>
                <w:sz w:val="24"/>
                <w:szCs w:val="24"/>
              </w:rPr>
              <w:t>配备适宜的通风、排气设施，避免空气从清洁程度要求低的作业区域流向清洁程度要求高的作业区域；合理设置进气口位置，必要时应</w:t>
            </w:r>
            <w:r>
              <w:rPr>
                <w:rFonts w:hint="eastAsia" w:cs="方正仿宋_GBK"/>
                <w:sz w:val="24"/>
                <w:szCs w:val="24"/>
              </w:rPr>
              <w:t>当</w:t>
            </w:r>
            <w:r>
              <w:rPr>
                <w:rFonts w:hint="eastAsia" w:cs="方正仿宋_GBK"/>
                <w:kern w:val="0"/>
                <w:sz w:val="24"/>
                <w:szCs w:val="24"/>
              </w:rPr>
              <w:t>安装空气过滤净化或除尘设施。通风设施应</w:t>
            </w:r>
            <w:r>
              <w:rPr>
                <w:rFonts w:hint="eastAsia" w:cs="方正仿宋_GBK"/>
                <w:sz w:val="24"/>
                <w:szCs w:val="24"/>
              </w:rPr>
              <w:t>当</w:t>
            </w:r>
            <w:r>
              <w:rPr>
                <w:rFonts w:hint="eastAsia" w:cs="方正仿宋_GBK"/>
                <w:kern w:val="0"/>
                <w:sz w:val="24"/>
                <w:szCs w:val="24"/>
              </w:rPr>
              <w:t>易于清洁、维修或更换，并能防止虫害侵入。</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符合规定要求。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3</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　</w:t>
            </w:r>
          </w:p>
        </w:tc>
        <w:tc>
          <w:tcPr>
            <w:tcW w:w="269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通风设施略有不足。</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1</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通风设施严重不足，或者不能满足必要的空气过滤净化、除尘、防止虫害侵入的需求。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0</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7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2.7</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照明设施</w:t>
            </w:r>
          </w:p>
        </w:tc>
        <w:tc>
          <w:tcPr>
            <w:tcW w:w="39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厂房内应</w:t>
            </w:r>
            <w:r>
              <w:rPr>
                <w:rFonts w:hint="eastAsia" w:cs="方正仿宋_GBK"/>
                <w:sz w:val="24"/>
                <w:szCs w:val="24"/>
              </w:rPr>
              <w:t>当</w:t>
            </w:r>
            <w:r>
              <w:rPr>
                <w:rFonts w:hint="eastAsia" w:cs="方正仿宋_GBK"/>
                <w:kern w:val="0"/>
                <w:sz w:val="24"/>
                <w:szCs w:val="24"/>
              </w:rPr>
              <w:t>有充足的自然采光或人工照明，光泽和亮度应能满足生产和操作需要，光源应</w:t>
            </w:r>
            <w:r>
              <w:rPr>
                <w:rFonts w:hint="eastAsia" w:cs="方正仿宋_GBK"/>
                <w:sz w:val="24"/>
                <w:szCs w:val="24"/>
              </w:rPr>
              <w:t>能</w:t>
            </w:r>
            <w:r>
              <w:rPr>
                <w:rFonts w:hint="eastAsia" w:cs="方正仿宋_GBK"/>
                <w:kern w:val="0"/>
                <w:sz w:val="24"/>
                <w:szCs w:val="24"/>
              </w:rPr>
              <w:t>使物料呈现真实的颜色。在暴露食品和原辅料正上方的照明设施应</w:t>
            </w:r>
            <w:r>
              <w:rPr>
                <w:rFonts w:hint="eastAsia" w:cs="方正仿宋_GBK"/>
                <w:sz w:val="24"/>
                <w:szCs w:val="24"/>
              </w:rPr>
              <w:t>当</w:t>
            </w:r>
            <w:r>
              <w:rPr>
                <w:rFonts w:hint="eastAsia" w:cs="方正仿宋_GBK"/>
                <w:kern w:val="0"/>
                <w:sz w:val="24"/>
                <w:szCs w:val="24"/>
              </w:rPr>
              <w:t>使用安全型或有防护措施的照明设施；如需要，还应</w:t>
            </w:r>
            <w:r>
              <w:rPr>
                <w:rFonts w:hint="eastAsia" w:cs="方正仿宋_GBK"/>
                <w:sz w:val="24"/>
                <w:szCs w:val="24"/>
              </w:rPr>
              <w:t>当</w:t>
            </w:r>
            <w:r>
              <w:rPr>
                <w:rFonts w:hint="eastAsia" w:cs="方正仿宋_GBK"/>
                <w:kern w:val="0"/>
                <w:sz w:val="24"/>
                <w:szCs w:val="24"/>
              </w:rPr>
              <w:t>配备应急照明设施。</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符合规定要求。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3</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　</w:t>
            </w:r>
          </w:p>
        </w:tc>
        <w:tc>
          <w:tcPr>
            <w:tcW w:w="269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照明设施或者防护措施略有不足。</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1</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照明设施或者防护措施严重不足。</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0</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7" w:hRule="atLeast"/>
          <w:jc w:val="center"/>
        </w:trPr>
        <w:tc>
          <w:tcPr>
            <w:tcW w:w="7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2.8</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温控设施</w:t>
            </w:r>
          </w:p>
        </w:tc>
        <w:tc>
          <w:tcPr>
            <w:tcW w:w="39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应</w:t>
            </w:r>
            <w:r>
              <w:rPr>
                <w:rFonts w:hint="eastAsia" w:cs="方正仿宋_GBK"/>
                <w:sz w:val="24"/>
                <w:szCs w:val="24"/>
              </w:rPr>
              <w:t>当</w:t>
            </w:r>
            <w:r>
              <w:rPr>
                <w:rFonts w:hint="eastAsia" w:cs="方正仿宋_GBK"/>
                <w:kern w:val="0"/>
                <w:sz w:val="24"/>
                <w:szCs w:val="24"/>
              </w:rPr>
              <w:t>根据生产的需要，配备适宜的加热、冷却、冷冻以及用于监测温度和控制室温的设施。</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符合规定要求。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3</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　</w:t>
            </w:r>
          </w:p>
        </w:tc>
        <w:tc>
          <w:tcPr>
            <w:tcW w:w="26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1"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温控设施略有不足。</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1</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温控设施严重不足。</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0</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9" w:hRule="atLeast"/>
          <w:jc w:val="center"/>
        </w:trPr>
        <w:tc>
          <w:tcPr>
            <w:tcW w:w="7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2.9</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检验设备设施</w:t>
            </w:r>
          </w:p>
        </w:tc>
        <w:tc>
          <w:tcPr>
            <w:tcW w:w="39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r>
              <w:rPr>
                <w:rFonts w:hint="eastAsia" w:cs="方正仿宋_GBK"/>
                <w:kern w:val="0"/>
                <w:sz w:val="24"/>
                <w:szCs w:val="24"/>
              </w:rPr>
              <w:t>自行检验的，应</w:t>
            </w:r>
            <w:r>
              <w:rPr>
                <w:rFonts w:hint="eastAsia" w:cs="方正仿宋_GBK"/>
                <w:sz w:val="24"/>
                <w:szCs w:val="24"/>
              </w:rPr>
              <w:t>当</w:t>
            </w:r>
            <w:r>
              <w:rPr>
                <w:rFonts w:hint="eastAsia" w:cs="方正仿宋_GBK"/>
                <w:kern w:val="0"/>
                <w:sz w:val="24"/>
                <w:szCs w:val="24"/>
              </w:rPr>
              <w:t>具备与所检项目相适应的检验室和检验设备。检验室应</w:t>
            </w:r>
            <w:r>
              <w:rPr>
                <w:rFonts w:hint="eastAsia" w:cs="方正仿宋_GBK"/>
                <w:sz w:val="24"/>
                <w:szCs w:val="24"/>
              </w:rPr>
              <w:t>当</w:t>
            </w:r>
            <w:r>
              <w:rPr>
                <w:rFonts w:hint="eastAsia" w:cs="方正仿宋_GBK"/>
                <w:kern w:val="0"/>
                <w:sz w:val="24"/>
                <w:szCs w:val="24"/>
              </w:rPr>
              <w:t>布局合理，检验设备的数量、性能、精度应</w:t>
            </w:r>
            <w:r>
              <w:rPr>
                <w:rFonts w:hint="eastAsia" w:cs="方正仿宋_GBK"/>
                <w:sz w:val="24"/>
                <w:szCs w:val="24"/>
              </w:rPr>
              <w:t>当</w:t>
            </w:r>
            <w:r>
              <w:rPr>
                <w:rFonts w:hint="eastAsia" w:cs="方正仿宋_GBK"/>
                <w:kern w:val="0"/>
                <w:sz w:val="24"/>
                <w:szCs w:val="24"/>
              </w:rPr>
              <w:t>满足相应的检验需求。</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符合规定要求。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3</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　</w:t>
            </w:r>
          </w:p>
        </w:tc>
        <w:tc>
          <w:tcPr>
            <w:tcW w:w="269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检验室布局略不合理，或者检验设备性能略有不足。</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1</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2"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检验室布局不合理，或者检验设备数量、性能、精度不能满足检验需求。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方正仿宋_GBK"/>
                <w:kern w:val="0"/>
                <w:sz w:val="24"/>
                <w:szCs w:val="24"/>
              </w:rPr>
            </w:pPr>
            <w:r>
              <w:rPr>
                <w:rFonts w:hint="eastAsia" w:cs="方正仿宋_GBK"/>
                <w:kern w:val="0"/>
                <w:sz w:val="24"/>
                <w:szCs w:val="24"/>
              </w:rPr>
              <w:t>0</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方正仿宋_GBK"/>
                <w:kern w:val="0"/>
                <w:sz w:val="24"/>
                <w:szCs w:val="24"/>
              </w:rPr>
            </w:pPr>
          </w:p>
        </w:tc>
      </w:tr>
    </w:tbl>
    <w:p>
      <w:pPr>
        <w:spacing w:before="589" w:beforeLines="100" w:after="294" w:afterLines="50" w:line="400" w:lineRule="exact"/>
        <w:jc w:val="center"/>
        <w:outlineLvl w:val="0"/>
        <w:rPr>
          <w:rFonts w:eastAsia="黑体"/>
          <w:szCs w:val="32"/>
        </w:rPr>
      </w:pPr>
      <w:r>
        <w:rPr>
          <w:rFonts w:hint="eastAsia" w:eastAsia="黑体"/>
          <w:szCs w:val="32"/>
        </w:rPr>
        <w:br w:type="page"/>
      </w:r>
    </w:p>
    <w:p>
      <w:pPr>
        <w:spacing w:before="589" w:beforeLines="100" w:after="294" w:afterLines="50" w:line="400" w:lineRule="exact"/>
        <w:jc w:val="center"/>
        <w:outlineLvl w:val="0"/>
        <w:rPr>
          <w:rFonts w:eastAsia="方正黑体_GBK" w:cs="方正黑体_GBK"/>
          <w:szCs w:val="32"/>
        </w:rPr>
      </w:pPr>
      <w:r>
        <w:rPr>
          <w:rFonts w:hint="eastAsia" w:eastAsia="方正黑体_GBK" w:cs="方正黑体_GBK"/>
          <w:szCs w:val="32"/>
        </w:rPr>
        <w:t>三、设备布局和工艺流程（共9分）</w:t>
      </w:r>
    </w:p>
    <w:tbl>
      <w:tblPr>
        <w:tblStyle w:val="9"/>
        <w:tblW w:w="13477" w:type="dxa"/>
        <w:jc w:val="center"/>
        <w:tblInd w:w="0" w:type="dxa"/>
        <w:tblLayout w:type="fixed"/>
        <w:tblCellMar>
          <w:top w:w="0" w:type="dxa"/>
          <w:left w:w="108" w:type="dxa"/>
          <w:bottom w:w="0" w:type="dxa"/>
          <w:right w:w="108" w:type="dxa"/>
        </w:tblCellMar>
      </w:tblPr>
      <w:tblGrid>
        <w:gridCol w:w="719"/>
        <w:gridCol w:w="1418"/>
        <w:gridCol w:w="3969"/>
        <w:gridCol w:w="2976"/>
        <w:gridCol w:w="457"/>
        <w:gridCol w:w="1263"/>
        <w:gridCol w:w="2675"/>
      </w:tblGrid>
      <w:tr>
        <w:tblPrEx>
          <w:tblLayout w:type="fixed"/>
          <w:tblCellMar>
            <w:top w:w="0" w:type="dxa"/>
            <w:left w:w="108" w:type="dxa"/>
            <w:bottom w:w="0" w:type="dxa"/>
            <w:right w:w="108" w:type="dxa"/>
          </w:tblCellMar>
        </w:tblPrEx>
        <w:trPr>
          <w:cantSplit/>
          <w:trHeight w:val="470" w:hRule="atLeast"/>
          <w:tblHeader/>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黑体_GBK" w:cs="方正黑体_GBK"/>
                <w:bCs/>
                <w:kern w:val="0"/>
                <w:sz w:val="24"/>
                <w:szCs w:val="24"/>
              </w:rPr>
            </w:pPr>
            <w:r>
              <w:rPr>
                <w:rFonts w:hint="eastAsia" w:eastAsia="方正黑体_GBK" w:cs="方正黑体_GBK"/>
                <w:bCs/>
                <w:kern w:val="0"/>
                <w:sz w:val="24"/>
                <w:szCs w:val="24"/>
              </w:rPr>
              <w:t>序号</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eastAsia="方正黑体_GBK" w:cs="方正黑体_GBK"/>
                <w:bCs/>
                <w:kern w:val="0"/>
                <w:sz w:val="24"/>
                <w:szCs w:val="24"/>
              </w:rPr>
            </w:pPr>
            <w:r>
              <w:rPr>
                <w:rFonts w:hint="eastAsia" w:eastAsia="方正黑体_GBK" w:cs="方正黑体_GBK"/>
                <w:bCs/>
                <w:kern w:val="0"/>
                <w:sz w:val="24"/>
                <w:szCs w:val="24"/>
              </w:rPr>
              <w:t>检查项目</w:t>
            </w:r>
          </w:p>
        </w:tc>
        <w:tc>
          <w:tcPr>
            <w:tcW w:w="3969" w:type="dxa"/>
            <w:tcBorders>
              <w:top w:val="single" w:color="auto" w:sz="4" w:space="0"/>
              <w:left w:val="nil"/>
              <w:bottom w:val="single" w:color="auto" w:sz="4" w:space="0"/>
              <w:right w:val="single" w:color="auto" w:sz="4" w:space="0"/>
            </w:tcBorders>
            <w:vAlign w:val="center"/>
          </w:tcPr>
          <w:p>
            <w:pPr>
              <w:widowControl/>
              <w:jc w:val="center"/>
              <w:rPr>
                <w:rFonts w:eastAsia="方正黑体_GBK" w:cs="方正黑体_GBK"/>
                <w:bCs/>
                <w:kern w:val="0"/>
                <w:sz w:val="24"/>
                <w:szCs w:val="24"/>
              </w:rPr>
            </w:pPr>
            <w:r>
              <w:rPr>
                <w:rFonts w:hint="eastAsia" w:eastAsia="方正黑体_GBK" w:cs="方正黑体_GBK"/>
                <w:bCs/>
                <w:kern w:val="0"/>
                <w:sz w:val="24"/>
                <w:szCs w:val="24"/>
              </w:rPr>
              <w:t>检查内容</w:t>
            </w:r>
          </w:p>
        </w:tc>
        <w:tc>
          <w:tcPr>
            <w:tcW w:w="3433" w:type="dxa"/>
            <w:gridSpan w:val="2"/>
            <w:tcBorders>
              <w:top w:val="single" w:color="auto" w:sz="4" w:space="0"/>
              <w:left w:val="nil"/>
              <w:bottom w:val="single" w:color="auto" w:sz="4" w:space="0"/>
              <w:right w:val="single" w:color="auto" w:sz="4" w:space="0"/>
            </w:tcBorders>
            <w:vAlign w:val="center"/>
          </w:tcPr>
          <w:p>
            <w:pPr>
              <w:widowControl/>
              <w:jc w:val="center"/>
              <w:rPr>
                <w:rFonts w:eastAsia="方正黑体_GBK" w:cs="方正黑体_GBK"/>
                <w:bCs/>
                <w:kern w:val="0"/>
                <w:sz w:val="24"/>
                <w:szCs w:val="24"/>
              </w:rPr>
            </w:pPr>
            <w:r>
              <w:rPr>
                <w:rFonts w:hint="eastAsia" w:eastAsia="方正黑体_GBK" w:cs="方正黑体_GBK"/>
                <w:bCs/>
                <w:kern w:val="0"/>
                <w:sz w:val="24"/>
                <w:szCs w:val="24"/>
              </w:rPr>
              <w:t>评分标准</w:t>
            </w:r>
          </w:p>
        </w:tc>
        <w:tc>
          <w:tcPr>
            <w:tcW w:w="1263" w:type="dxa"/>
            <w:tcBorders>
              <w:top w:val="single" w:color="auto" w:sz="4" w:space="0"/>
              <w:left w:val="nil"/>
              <w:bottom w:val="single" w:color="auto" w:sz="4" w:space="0"/>
              <w:right w:val="single" w:color="auto" w:sz="4" w:space="0"/>
            </w:tcBorders>
            <w:vAlign w:val="center"/>
          </w:tcPr>
          <w:p>
            <w:pPr>
              <w:widowControl/>
              <w:jc w:val="center"/>
              <w:rPr>
                <w:rFonts w:eastAsia="方正黑体_GBK" w:cs="方正黑体_GBK"/>
                <w:bCs/>
                <w:kern w:val="0"/>
                <w:sz w:val="24"/>
                <w:szCs w:val="24"/>
              </w:rPr>
            </w:pPr>
            <w:r>
              <w:rPr>
                <w:rFonts w:hint="eastAsia" w:eastAsia="方正黑体_GBK" w:cs="方正黑体_GBK"/>
                <w:bCs/>
                <w:kern w:val="0"/>
                <w:sz w:val="24"/>
                <w:szCs w:val="24"/>
              </w:rPr>
              <w:t>检查得分</w:t>
            </w:r>
          </w:p>
        </w:tc>
        <w:tc>
          <w:tcPr>
            <w:tcW w:w="2675" w:type="dxa"/>
            <w:tcBorders>
              <w:top w:val="single" w:color="auto" w:sz="4" w:space="0"/>
              <w:left w:val="nil"/>
              <w:bottom w:val="single" w:color="auto" w:sz="4" w:space="0"/>
              <w:right w:val="single" w:color="auto" w:sz="4" w:space="0"/>
            </w:tcBorders>
            <w:vAlign w:val="center"/>
          </w:tcPr>
          <w:p>
            <w:pPr>
              <w:widowControl/>
              <w:jc w:val="center"/>
              <w:rPr>
                <w:rFonts w:eastAsia="方正黑体_GBK" w:cs="方正黑体_GBK"/>
                <w:bCs/>
                <w:kern w:val="0"/>
                <w:sz w:val="24"/>
                <w:szCs w:val="24"/>
              </w:rPr>
            </w:pPr>
            <w:r>
              <w:rPr>
                <w:rFonts w:hint="eastAsia" w:eastAsia="方正黑体_GBK" w:cs="方正黑体_GBK"/>
                <w:bCs/>
                <w:kern w:val="0"/>
                <w:sz w:val="24"/>
                <w:szCs w:val="24"/>
              </w:rPr>
              <w:t>检查记录</w:t>
            </w:r>
          </w:p>
        </w:tc>
      </w:tr>
      <w:tr>
        <w:tblPrEx>
          <w:tblLayout w:type="fixed"/>
          <w:tblCellMar>
            <w:top w:w="0" w:type="dxa"/>
            <w:left w:w="108" w:type="dxa"/>
            <w:bottom w:w="0" w:type="dxa"/>
            <w:right w:w="108" w:type="dxa"/>
          </w:tblCellMar>
        </w:tblPrEx>
        <w:trPr>
          <w:cantSplit/>
          <w:trHeight w:val="548" w:hRule="atLeast"/>
          <w:jc w:val="center"/>
        </w:trPr>
        <w:tc>
          <w:tcPr>
            <w:tcW w:w="719" w:type="dxa"/>
            <w:vMerge w:val="restart"/>
            <w:tcBorders>
              <w:top w:val="nil"/>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3.1</w:t>
            </w:r>
          </w:p>
        </w:tc>
        <w:tc>
          <w:tcPr>
            <w:tcW w:w="1418" w:type="dxa"/>
            <w:vMerge w:val="restart"/>
            <w:tcBorders>
              <w:top w:val="nil"/>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设备布局</w:t>
            </w:r>
          </w:p>
        </w:tc>
        <w:tc>
          <w:tcPr>
            <w:tcW w:w="3969" w:type="dxa"/>
            <w:vMerge w:val="restart"/>
            <w:tcBorders>
              <w:top w:val="nil"/>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生产设备应</w:t>
            </w:r>
            <w:r>
              <w:rPr>
                <w:rFonts w:hint="eastAsia" w:cs="方正仿宋_GBK"/>
                <w:sz w:val="24"/>
                <w:szCs w:val="24"/>
              </w:rPr>
              <w:t>当</w:t>
            </w:r>
            <w:r>
              <w:rPr>
                <w:rFonts w:hint="eastAsia" w:cs="方正仿宋_GBK"/>
                <w:kern w:val="0"/>
                <w:sz w:val="24"/>
                <w:szCs w:val="24"/>
              </w:rPr>
              <w:t>按照工艺流程有序排列，合理布局，便于清洁、消毒和维护，避免交叉污染。</w:t>
            </w:r>
          </w:p>
        </w:tc>
        <w:tc>
          <w:tcPr>
            <w:tcW w:w="2976" w:type="dxa"/>
            <w:tcBorders>
              <w:top w:val="nil"/>
              <w:left w:val="nil"/>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符合规定要求。</w:t>
            </w:r>
          </w:p>
        </w:tc>
        <w:tc>
          <w:tcPr>
            <w:tcW w:w="457" w:type="dxa"/>
            <w:tcBorders>
              <w:top w:val="nil"/>
              <w:left w:val="nil"/>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3</w:t>
            </w:r>
          </w:p>
        </w:tc>
        <w:tc>
          <w:tcPr>
            <w:tcW w:w="1263" w:type="dxa"/>
            <w:vMerge w:val="restart"/>
            <w:tcBorders>
              <w:top w:val="nil"/>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　</w:t>
            </w:r>
          </w:p>
        </w:tc>
        <w:tc>
          <w:tcPr>
            <w:tcW w:w="2675" w:type="dxa"/>
            <w:vMerge w:val="restart"/>
            <w:tcBorders>
              <w:top w:val="nil"/>
              <w:left w:val="nil"/>
              <w:bottom w:val="single" w:color="auto" w:sz="4" w:space="0"/>
              <w:right w:val="single" w:color="auto" w:sz="4" w:space="0"/>
            </w:tcBorders>
            <w:vAlign w:val="center"/>
          </w:tcPr>
          <w:p>
            <w:pPr>
              <w:widowControl/>
              <w:rPr>
                <w:rFonts w:cs="方正仿宋_GBK"/>
                <w:kern w:val="0"/>
                <w:sz w:val="24"/>
                <w:szCs w:val="24"/>
              </w:rPr>
            </w:pPr>
          </w:p>
        </w:tc>
      </w:tr>
      <w:tr>
        <w:tblPrEx>
          <w:tblLayout w:type="fixed"/>
          <w:tblCellMar>
            <w:top w:w="0" w:type="dxa"/>
            <w:left w:w="108" w:type="dxa"/>
            <w:bottom w:w="0" w:type="dxa"/>
            <w:right w:w="108" w:type="dxa"/>
          </w:tblCellMar>
        </w:tblPrEx>
        <w:trPr>
          <w:cantSplit/>
          <w:trHeight w:val="570"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3969"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976" w:type="dxa"/>
            <w:tcBorders>
              <w:top w:val="nil"/>
              <w:left w:val="nil"/>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个别设备布局不合理。</w:t>
            </w:r>
          </w:p>
        </w:tc>
        <w:tc>
          <w:tcPr>
            <w:tcW w:w="457" w:type="dxa"/>
            <w:tcBorders>
              <w:top w:val="nil"/>
              <w:left w:val="nil"/>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1</w:t>
            </w:r>
          </w:p>
        </w:tc>
        <w:tc>
          <w:tcPr>
            <w:tcW w:w="1263"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675" w:type="dxa"/>
            <w:vMerge w:val="continue"/>
            <w:tcBorders>
              <w:top w:val="nil"/>
              <w:left w:val="nil"/>
              <w:bottom w:val="single" w:color="auto" w:sz="4" w:space="0"/>
              <w:right w:val="single" w:color="auto" w:sz="4" w:space="0"/>
            </w:tcBorders>
            <w:vAlign w:val="center"/>
          </w:tcPr>
          <w:p>
            <w:pPr>
              <w:widowControl/>
              <w:jc w:val="left"/>
              <w:rPr>
                <w:rFonts w:cs="方正仿宋_GBK"/>
                <w:kern w:val="0"/>
                <w:sz w:val="24"/>
                <w:szCs w:val="24"/>
              </w:rPr>
            </w:pPr>
          </w:p>
        </w:tc>
      </w:tr>
      <w:tr>
        <w:tblPrEx>
          <w:tblLayout w:type="fixed"/>
          <w:tblCellMar>
            <w:top w:w="0" w:type="dxa"/>
            <w:left w:w="108" w:type="dxa"/>
            <w:bottom w:w="0" w:type="dxa"/>
            <w:right w:w="108" w:type="dxa"/>
          </w:tblCellMar>
        </w:tblPrEx>
        <w:trPr>
          <w:cantSplit/>
          <w:trHeight w:val="558"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3969"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976" w:type="dxa"/>
            <w:tcBorders>
              <w:top w:val="nil"/>
              <w:left w:val="nil"/>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设备布局存在交叉污染。</w:t>
            </w:r>
          </w:p>
        </w:tc>
        <w:tc>
          <w:tcPr>
            <w:tcW w:w="457" w:type="dxa"/>
            <w:tcBorders>
              <w:top w:val="nil"/>
              <w:left w:val="nil"/>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0</w:t>
            </w:r>
          </w:p>
        </w:tc>
        <w:tc>
          <w:tcPr>
            <w:tcW w:w="1263"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675" w:type="dxa"/>
            <w:vMerge w:val="continue"/>
            <w:tcBorders>
              <w:top w:val="nil"/>
              <w:left w:val="nil"/>
              <w:bottom w:val="single" w:color="auto" w:sz="4" w:space="0"/>
              <w:right w:val="single" w:color="auto" w:sz="4" w:space="0"/>
            </w:tcBorders>
            <w:vAlign w:val="center"/>
          </w:tcPr>
          <w:p>
            <w:pPr>
              <w:widowControl/>
              <w:jc w:val="left"/>
              <w:rPr>
                <w:rFonts w:cs="方正仿宋_GBK"/>
                <w:kern w:val="0"/>
                <w:sz w:val="24"/>
                <w:szCs w:val="24"/>
              </w:rPr>
            </w:pPr>
          </w:p>
        </w:tc>
      </w:tr>
      <w:tr>
        <w:tblPrEx>
          <w:tblLayout w:type="fixed"/>
          <w:tblCellMar>
            <w:top w:w="0" w:type="dxa"/>
            <w:left w:w="108" w:type="dxa"/>
            <w:bottom w:w="0" w:type="dxa"/>
            <w:right w:w="108" w:type="dxa"/>
          </w:tblCellMar>
        </w:tblPrEx>
        <w:trPr>
          <w:cantSplit/>
          <w:trHeight w:val="539" w:hRule="atLeast"/>
          <w:jc w:val="center"/>
        </w:trPr>
        <w:tc>
          <w:tcPr>
            <w:tcW w:w="719" w:type="dxa"/>
            <w:vMerge w:val="restart"/>
            <w:tcBorders>
              <w:top w:val="nil"/>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3.2</w:t>
            </w:r>
          </w:p>
        </w:tc>
        <w:tc>
          <w:tcPr>
            <w:tcW w:w="1418" w:type="dxa"/>
            <w:vMerge w:val="restart"/>
            <w:tcBorders>
              <w:top w:val="nil"/>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工艺流程</w:t>
            </w:r>
          </w:p>
        </w:tc>
        <w:tc>
          <w:tcPr>
            <w:tcW w:w="3969" w:type="dxa"/>
            <w:vMerge w:val="restart"/>
            <w:tcBorders>
              <w:top w:val="nil"/>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1.应</w:t>
            </w:r>
            <w:r>
              <w:rPr>
                <w:rFonts w:hint="eastAsia" w:cs="方正仿宋_GBK"/>
                <w:sz w:val="24"/>
                <w:szCs w:val="24"/>
              </w:rPr>
              <w:t>当</w:t>
            </w:r>
            <w:r>
              <w:rPr>
                <w:rFonts w:hint="eastAsia" w:cs="方正仿宋_GBK"/>
                <w:kern w:val="0"/>
                <w:sz w:val="24"/>
                <w:szCs w:val="24"/>
              </w:rPr>
              <w:t>具备合理的生产工艺流程，防止生产过程中造成交叉污染。工艺流程应</w:t>
            </w:r>
            <w:r>
              <w:rPr>
                <w:rFonts w:hint="eastAsia" w:cs="方正仿宋_GBK"/>
                <w:sz w:val="24"/>
                <w:szCs w:val="24"/>
              </w:rPr>
              <w:t>当</w:t>
            </w:r>
            <w:r>
              <w:rPr>
                <w:rFonts w:hint="eastAsia" w:cs="方正仿宋_GBK"/>
                <w:kern w:val="0"/>
                <w:sz w:val="24"/>
                <w:szCs w:val="24"/>
              </w:rPr>
              <w:t>与产品执行标准相适应。执行企业标准的，应</w:t>
            </w:r>
            <w:r>
              <w:rPr>
                <w:rFonts w:hint="eastAsia" w:cs="方正仿宋_GBK"/>
                <w:sz w:val="24"/>
                <w:szCs w:val="24"/>
              </w:rPr>
              <w:t>当</w:t>
            </w:r>
            <w:r>
              <w:rPr>
                <w:rFonts w:hint="eastAsia" w:cs="方正仿宋_GBK"/>
                <w:kern w:val="0"/>
                <w:sz w:val="24"/>
                <w:szCs w:val="24"/>
              </w:rPr>
              <w:t>依法备案。</w:t>
            </w:r>
          </w:p>
        </w:tc>
        <w:tc>
          <w:tcPr>
            <w:tcW w:w="2976" w:type="dxa"/>
            <w:tcBorders>
              <w:top w:val="nil"/>
              <w:left w:val="nil"/>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符合规定要求。</w:t>
            </w:r>
          </w:p>
        </w:tc>
        <w:tc>
          <w:tcPr>
            <w:tcW w:w="457" w:type="dxa"/>
            <w:tcBorders>
              <w:top w:val="nil"/>
              <w:left w:val="nil"/>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3</w:t>
            </w:r>
          </w:p>
        </w:tc>
        <w:tc>
          <w:tcPr>
            <w:tcW w:w="1263" w:type="dxa"/>
            <w:vMerge w:val="restart"/>
            <w:tcBorders>
              <w:top w:val="nil"/>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　</w:t>
            </w:r>
          </w:p>
        </w:tc>
        <w:tc>
          <w:tcPr>
            <w:tcW w:w="2675" w:type="dxa"/>
            <w:vMerge w:val="restart"/>
            <w:tcBorders>
              <w:top w:val="single" w:color="auto" w:sz="4" w:space="0"/>
              <w:left w:val="nil"/>
              <w:bottom w:val="single" w:color="auto" w:sz="4" w:space="0"/>
              <w:right w:val="single" w:color="auto" w:sz="4" w:space="0"/>
            </w:tcBorders>
            <w:vAlign w:val="center"/>
          </w:tcPr>
          <w:p>
            <w:pPr>
              <w:rPr>
                <w:rFonts w:cs="方正仿宋_GBK"/>
                <w:kern w:val="0"/>
                <w:sz w:val="24"/>
                <w:szCs w:val="24"/>
              </w:rPr>
            </w:pPr>
          </w:p>
        </w:tc>
      </w:tr>
      <w:tr>
        <w:tblPrEx>
          <w:tblLayout w:type="fixed"/>
          <w:tblCellMar>
            <w:top w:w="0" w:type="dxa"/>
            <w:left w:w="108" w:type="dxa"/>
            <w:bottom w:w="0" w:type="dxa"/>
            <w:right w:w="108" w:type="dxa"/>
          </w:tblCellMar>
        </w:tblPrEx>
        <w:trPr>
          <w:cantSplit/>
          <w:trHeight w:val="1122"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3969"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976" w:type="dxa"/>
            <w:tcBorders>
              <w:top w:val="nil"/>
              <w:left w:val="nil"/>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个别工艺流程略有交叉，或者略不符合产品执行标准的规定。</w:t>
            </w:r>
          </w:p>
        </w:tc>
        <w:tc>
          <w:tcPr>
            <w:tcW w:w="457" w:type="dxa"/>
            <w:tcBorders>
              <w:top w:val="nil"/>
              <w:left w:val="nil"/>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1</w:t>
            </w:r>
          </w:p>
        </w:tc>
        <w:tc>
          <w:tcPr>
            <w:tcW w:w="1263"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675" w:type="dxa"/>
            <w:vMerge w:val="continue"/>
            <w:tcBorders>
              <w:top w:val="single" w:color="auto" w:sz="4" w:space="0"/>
              <w:left w:val="nil"/>
              <w:bottom w:val="single" w:color="auto" w:sz="4" w:space="0"/>
              <w:right w:val="single" w:color="auto" w:sz="4" w:space="0"/>
            </w:tcBorders>
            <w:vAlign w:val="center"/>
          </w:tcPr>
          <w:p>
            <w:pPr>
              <w:widowControl/>
              <w:jc w:val="left"/>
              <w:rPr>
                <w:rFonts w:cs="方正仿宋_GBK"/>
                <w:kern w:val="0"/>
                <w:sz w:val="24"/>
                <w:szCs w:val="24"/>
              </w:rPr>
            </w:pPr>
          </w:p>
        </w:tc>
      </w:tr>
      <w:tr>
        <w:tblPrEx>
          <w:tblLayout w:type="fixed"/>
          <w:tblCellMar>
            <w:top w:w="0" w:type="dxa"/>
            <w:left w:w="108" w:type="dxa"/>
            <w:bottom w:w="0" w:type="dxa"/>
            <w:right w:w="108" w:type="dxa"/>
          </w:tblCellMar>
        </w:tblPrEx>
        <w:trPr>
          <w:cantSplit/>
          <w:trHeight w:val="1394"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3969"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976" w:type="dxa"/>
            <w:tcBorders>
              <w:top w:val="nil"/>
              <w:left w:val="nil"/>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工艺流程存在交叉污染，或者不符合产品执行标准的规定，或者企业标准未依法备案。</w:t>
            </w:r>
          </w:p>
        </w:tc>
        <w:tc>
          <w:tcPr>
            <w:tcW w:w="457" w:type="dxa"/>
            <w:tcBorders>
              <w:top w:val="nil"/>
              <w:left w:val="nil"/>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0</w:t>
            </w:r>
          </w:p>
        </w:tc>
        <w:tc>
          <w:tcPr>
            <w:tcW w:w="1263"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675" w:type="dxa"/>
            <w:vMerge w:val="continue"/>
            <w:tcBorders>
              <w:top w:val="single" w:color="auto" w:sz="4" w:space="0"/>
              <w:left w:val="nil"/>
              <w:bottom w:val="single" w:color="auto" w:sz="4" w:space="0"/>
              <w:right w:val="single" w:color="auto" w:sz="4" w:space="0"/>
            </w:tcBorders>
            <w:vAlign w:val="center"/>
          </w:tcPr>
          <w:p>
            <w:pPr>
              <w:widowControl/>
              <w:jc w:val="left"/>
              <w:rPr>
                <w:rFonts w:cs="方正仿宋_GBK"/>
                <w:kern w:val="0"/>
                <w:sz w:val="24"/>
                <w:szCs w:val="24"/>
              </w:rPr>
            </w:pPr>
          </w:p>
        </w:tc>
      </w:tr>
      <w:tr>
        <w:tblPrEx>
          <w:tblLayout w:type="fixed"/>
          <w:tblCellMar>
            <w:top w:w="0" w:type="dxa"/>
            <w:left w:w="108" w:type="dxa"/>
            <w:bottom w:w="0" w:type="dxa"/>
            <w:right w:w="108" w:type="dxa"/>
          </w:tblCellMar>
        </w:tblPrEx>
        <w:trPr>
          <w:cantSplit/>
          <w:trHeight w:val="421"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3969" w:type="dxa"/>
            <w:vMerge w:val="restart"/>
            <w:tcBorders>
              <w:top w:val="nil"/>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2.应</w:t>
            </w:r>
            <w:r>
              <w:rPr>
                <w:rFonts w:hint="eastAsia" w:cs="方正仿宋_GBK"/>
                <w:sz w:val="24"/>
                <w:szCs w:val="24"/>
              </w:rPr>
              <w:t>当</w:t>
            </w:r>
            <w:r>
              <w:rPr>
                <w:rFonts w:hint="eastAsia" w:cs="方正仿宋_GBK"/>
                <w:kern w:val="0"/>
                <w:sz w:val="24"/>
                <w:szCs w:val="24"/>
              </w:rPr>
              <w:t>制定所需的产品配方、工艺规程、作业指导书等工艺文件，明确生产过程中的食品安全关键环节。复配食品添加剂的产品配方、有害物质、致病性微生物等的控制要求应</w:t>
            </w:r>
            <w:r>
              <w:rPr>
                <w:rFonts w:hint="eastAsia" w:cs="方正仿宋_GBK"/>
                <w:sz w:val="24"/>
                <w:szCs w:val="24"/>
              </w:rPr>
              <w:t>当</w:t>
            </w:r>
            <w:r>
              <w:rPr>
                <w:rFonts w:hint="eastAsia" w:cs="方正仿宋_GBK"/>
                <w:kern w:val="0"/>
                <w:sz w:val="24"/>
                <w:szCs w:val="24"/>
              </w:rPr>
              <w:t>符合食品安全标准的规定。</w:t>
            </w:r>
          </w:p>
        </w:tc>
        <w:tc>
          <w:tcPr>
            <w:tcW w:w="2976" w:type="dxa"/>
            <w:tcBorders>
              <w:top w:val="nil"/>
              <w:left w:val="nil"/>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符合规定要求。</w:t>
            </w:r>
          </w:p>
        </w:tc>
        <w:tc>
          <w:tcPr>
            <w:tcW w:w="457" w:type="dxa"/>
            <w:tcBorders>
              <w:top w:val="nil"/>
              <w:left w:val="nil"/>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3</w:t>
            </w:r>
          </w:p>
        </w:tc>
        <w:tc>
          <w:tcPr>
            <w:tcW w:w="1263" w:type="dxa"/>
            <w:vMerge w:val="restart"/>
            <w:tcBorders>
              <w:top w:val="nil"/>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　</w:t>
            </w:r>
          </w:p>
        </w:tc>
        <w:tc>
          <w:tcPr>
            <w:tcW w:w="2675" w:type="dxa"/>
            <w:vMerge w:val="restart"/>
            <w:tcBorders>
              <w:top w:val="nil"/>
              <w:left w:val="nil"/>
              <w:bottom w:val="single" w:color="auto" w:sz="4" w:space="0"/>
              <w:right w:val="single" w:color="auto" w:sz="4" w:space="0"/>
            </w:tcBorders>
            <w:vAlign w:val="center"/>
          </w:tcPr>
          <w:p>
            <w:pPr>
              <w:widowControl/>
              <w:rPr>
                <w:rFonts w:cs="方正仿宋_GBK"/>
                <w:kern w:val="0"/>
                <w:sz w:val="24"/>
                <w:szCs w:val="24"/>
              </w:rPr>
            </w:pPr>
          </w:p>
        </w:tc>
      </w:tr>
      <w:tr>
        <w:tblPrEx>
          <w:tblLayout w:type="fixed"/>
          <w:tblCellMar>
            <w:top w:w="0" w:type="dxa"/>
            <w:left w:w="108" w:type="dxa"/>
            <w:bottom w:w="0" w:type="dxa"/>
            <w:right w:w="108" w:type="dxa"/>
          </w:tblCellMar>
        </w:tblPrEx>
        <w:trPr>
          <w:cantSplit/>
          <w:trHeight w:val="413"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3969"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976" w:type="dxa"/>
            <w:tcBorders>
              <w:top w:val="nil"/>
              <w:left w:val="nil"/>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工艺文件略有不足。</w:t>
            </w:r>
          </w:p>
        </w:tc>
        <w:tc>
          <w:tcPr>
            <w:tcW w:w="457" w:type="dxa"/>
            <w:tcBorders>
              <w:top w:val="nil"/>
              <w:left w:val="nil"/>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1</w:t>
            </w:r>
          </w:p>
        </w:tc>
        <w:tc>
          <w:tcPr>
            <w:tcW w:w="1263"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675" w:type="dxa"/>
            <w:vMerge w:val="continue"/>
            <w:tcBorders>
              <w:top w:val="nil"/>
              <w:left w:val="nil"/>
              <w:bottom w:val="single" w:color="auto" w:sz="4" w:space="0"/>
              <w:right w:val="single" w:color="auto" w:sz="4" w:space="0"/>
            </w:tcBorders>
            <w:vAlign w:val="center"/>
          </w:tcPr>
          <w:p>
            <w:pPr>
              <w:widowControl/>
              <w:jc w:val="left"/>
              <w:rPr>
                <w:rFonts w:cs="方正仿宋_GBK"/>
                <w:kern w:val="0"/>
                <w:sz w:val="24"/>
                <w:szCs w:val="24"/>
              </w:rPr>
            </w:pPr>
          </w:p>
        </w:tc>
      </w:tr>
      <w:tr>
        <w:tblPrEx>
          <w:tblLayout w:type="fixed"/>
          <w:tblCellMar>
            <w:top w:w="0" w:type="dxa"/>
            <w:left w:w="108" w:type="dxa"/>
            <w:bottom w:w="0" w:type="dxa"/>
            <w:right w:w="108" w:type="dxa"/>
          </w:tblCellMar>
        </w:tblPrEx>
        <w:trPr>
          <w:cantSplit/>
          <w:trHeight w:val="1412"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3969"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976" w:type="dxa"/>
            <w:tcBorders>
              <w:top w:val="nil"/>
              <w:left w:val="nil"/>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工艺文件严重不足，或者复配食品添加剂的相关控制要求不符合食品安全标准的规定。</w:t>
            </w:r>
          </w:p>
        </w:tc>
        <w:tc>
          <w:tcPr>
            <w:tcW w:w="457" w:type="dxa"/>
            <w:tcBorders>
              <w:top w:val="nil"/>
              <w:left w:val="nil"/>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0</w:t>
            </w:r>
          </w:p>
        </w:tc>
        <w:tc>
          <w:tcPr>
            <w:tcW w:w="1263"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675" w:type="dxa"/>
            <w:vMerge w:val="continue"/>
            <w:tcBorders>
              <w:top w:val="nil"/>
              <w:left w:val="nil"/>
              <w:bottom w:val="single" w:color="auto" w:sz="4" w:space="0"/>
              <w:right w:val="single" w:color="auto" w:sz="4" w:space="0"/>
            </w:tcBorders>
            <w:vAlign w:val="center"/>
          </w:tcPr>
          <w:p>
            <w:pPr>
              <w:widowControl/>
              <w:jc w:val="left"/>
              <w:rPr>
                <w:rFonts w:cs="方正仿宋_GBK"/>
                <w:kern w:val="0"/>
                <w:sz w:val="24"/>
                <w:szCs w:val="24"/>
              </w:rPr>
            </w:pPr>
          </w:p>
        </w:tc>
      </w:tr>
    </w:tbl>
    <w:p>
      <w:pPr>
        <w:spacing w:before="589" w:beforeLines="100" w:after="294" w:afterLines="50" w:line="400" w:lineRule="exact"/>
        <w:jc w:val="center"/>
        <w:outlineLvl w:val="0"/>
        <w:rPr>
          <w:rFonts w:eastAsia="方正黑体_GBK" w:cs="方正黑体_GBK"/>
          <w:szCs w:val="32"/>
        </w:rPr>
      </w:pPr>
      <w:r>
        <w:rPr>
          <w:rFonts w:hint="eastAsia" w:eastAsia="方正黑体_GBK" w:cs="方正黑体_GBK"/>
          <w:szCs w:val="32"/>
        </w:rPr>
        <w:br w:type="page"/>
      </w:r>
    </w:p>
    <w:p>
      <w:pPr>
        <w:spacing w:before="589" w:beforeLines="100" w:after="294" w:afterLines="50" w:line="400" w:lineRule="exact"/>
        <w:jc w:val="center"/>
        <w:outlineLvl w:val="0"/>
        <w:rPr>
          <w:rFonts w:eastAsia="方正黑体_GBK" w:cs="方正黑体_GBK"/>
          <w:szCs w:val="32"/>
        </w:rPr>
      </w:pPr>
      <w:r>
        <w:rPr>
          <w:rFonts w:hint="eastAsia" w:eastAsia="方正黑体_GBK" w:cs="方正黑体_GBK"/>
          <w:szCs w:val="32"/>
        </w:rPr>
        <w:t>四、人员管理（共9分）</w:t>
      </w:r>
    </w:p>
    <w:tbl>
      <w:tblPr>
        <w:tblStyle w:val="9"/>
        <w:tblW w:w="13482" w:type="dxa"/>
        <w:jc w:val="center"/>
        <w:tblInd w:w="0" w:type="dxa"/>
        <w:tblLayout w:type="fixed"/>
        <w:tblCellMar>
          <w:top w:w="0" w:type="dxa"/>
          <w:left w:w="108" w:type="dxa"/>
          <w:bottom w:w="0" w:type="dxa"/>
          <w:right w:w="108" w:type="dxa"/>
        </w:tblCellMar>
      </w:tblPr>
      <w:tblGrid>
        <w:gridCol w:w="734"/>
        <w:gridCol w:w="1408"/>
        <w:gridCol w:w="3969"/>
        <w:gridCol w:w="2976"/>
        <w:gridCol w:w="426"/>
        <w:gridCol w:w="1275"/>
        <w:gridCol w:w="2694"/>
      </w:tblGrid>
      <w:tr>
        <w:tblPrEx>
          <w:tblLayout w:type="fixed"/>
          <w:tblCellMar>
            <w:top w:w="0" w:type="dxa"/>
            <w:left w:w="108" w:type="dxa"/>
            <w:bottom w:w="0" w:type="dxa"/>
            <w:right w:w="108" w:type="dxa"/>
          </w:tblCellMar>
        </w:tblPrEx>
        <w:trPr>
          <w:cantSplit/>
          <w:trHeight w:val="20" w:hRule="atLeast"/>
          <w:tblHeader/>
          <w:jc w:val="center"/>
        </w:trPr>
        <w:tc>
          <w:tcPr>
            <w:tcW w:w="73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黑体_GBK" w:cs="方正黑体_GBK"/>
                <w:bCs/>
                <w:kern w:val="0"/>
                <w:sz w:val="24"/>
                <w:szCs w:val="24"/>
              </w:rPr>
            </w:pPr>
            <w:r>
              <w:rPr>
                <w:rFonts w:hint="eastAsia" w:eastAsia="方正黑体_GBK" w:cs="方正黑体_GBK"/>
                <w:bCs/>
                <w:kern w:val="0"/>
                <w:sz w:val="24"/>
                <w:szCs w:val="24"/>
              </w:rPr>
              <w:t>序号</w:t>
            </w:r>
          </w:p>
        </w:tc>
        <w:tc>
          <w:tcPr>
            <w:tcW w:w="1408" w:type="dxa"/>
            <w:tcBorders>
              <w:top w:val="single" w:color="auto" w:sz="4" w:space="0"/>
              <w:left w:val="nil"/>
              <w:bottom w:val="single" w:color="auto" w:sz="4" w:space="0"/>
              <w:right w:val="single" w:color="auto" w:sz="4" w:space="0"/>
            </w:tcBorders>
            <w:vAlign w:val="center"/>
          </w:tcPr>
          <w:p>
            <w:pPr>
              <w:widowControl/>
              <w:jc w:val="center"/>
              <w:rPr>
                <w:rFonts w:eastAsia="方正黑体_GBK" w:cs="方正黑体_GBK"/>
                <w:bCs/>
                <w:kern w:val="0"/>
                <w:sz w:val="24"/>
                <w:szCs w:val="24"/>
              </w:rPr>
            </w:pPr>
            <w:r>
              <w:rPr>
                <w:rFonts w:hint="eastAsia" w:eastAsia="方正黑体_GBK" w:cs="方正黑体_GBK"/>
                <w:bCs/>
                <w:kern w:val="0"/>
                <w:sz w:val="24"/>
                <w:szCs w:val="24"/>
              </w:rPr>
              <w:t>检查项目</w:t>
            </w:r>
          </w:p>
        </w:tc>
        <w:tc>
          <w:tcPr>
            <w:tcW w:w="3969" w:type="dxa"/>
            <w:tcBorders>
              <w:top w:val="single" w:color="auto" w:sz="4" w:space="0"/>
              <w:left w:val="nil"/>
              <w:bottom w:val="single" w:color="auto" w:sz="4" w:space="0"/>
              <w:right w:val="single" w:color="auto" w:sz="4" w:space="0"/>
            </w:tcBorders>
            <w:vAlign w:val="center"/>
          </w:tcPr>
          <w:p>
            <w:pPr>
              <w:widowControl/>
              <w:jc w:val="center"/>
              <w:rPr>
                <w:rFonts w:eastAsia="方正黑体_GBK" w:cs="方正黑体_GBK"/>
                <w:bCs/>
                <w:kern w:val="0"/>
                <w:sz w:val="24"/>
                <w:szCs w:val="24"/>
              </w:rPr>
            </w:pPr>
            <w:r>
              <w:rPr>
                <w:rFonts w:hint="eastAsia" w:eastAsia="方正黑体_GBK" w:cs="方正黑体_GBK"/>
                <w:bCs/>
                <w:kern w:val="0"/>
                <w:sz w:val="24"/>
                <w:szCs w:val="24"/>
              </w:rPr>
              <w:t>检查内容</w:t>
            </w:r>
          </w:p>
        </w:tc>
        <w:tc>
          <w:tcPr>
            <w:tcW w:w="3402" w:type="dxa"/>
            <w:gridSpan w:val="2"/>
            <w:tcBorders>
              <w:top w:val="single" w:color="auto" w:sz="4" w:space="0"/>
              <w:left w:val="nil"/>
              <w:bottom w:val="single" w:color="auto" w:sz="4" w:space="0"/>
              <w:right w:val="single" w:color="auto" w:sz="4" w:space="0"/>
            </w:tcBorders>
            <w:vAlign w:val="center"/>
          </w:tcPr>
          <w:p>
            <w:pPr>
              <w:widowControl/>
              <w:jc w:val="center"/>
              <w:rPr>
                <w:rFonts w:eastAsia="方正黑体_GBK" w:cs="方正黑体_GBK"/>
                <w:bCs/>
                <w:kern w:val="0"/>
                <w:sz w:val="24"/>
                <w:szCs w:val="24"/>
              </w:rPr>
            </w:pPr>
            <w:r>
              <w:rPr>
                <w:rFonts w:hint="eastAsia" w:eastAsia="方正黑体_GBK" w:cs="方正黑体_GBK"/>
                <w:bCs/>
                <w:kern w:val="0"/>
                <w:sz w:val="24"/>
                <w:szCs w:val="24"/>
              </w:rPr>
              <w:t>评分标准</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eastAsia="方正黑体_GBK" w:cs="方正黑体_GBK"/>
                <w:bCs/>
                <w:kern w:val="0"/>
                <w:sz w:val="24"/>
                <w:szCs w:val="24"/>
              </w:rPr>
            </w:pPr>
            <w:r>
              <w:rPr>
                <w:rFonts w:hint="eastAsia" w:eastAsia="方正黑体_GBK" w:cs="方正黑体_GBK"/>
                <w:bCs/>
                <w:kern w:val="0"/>
                <w:sz w:val="24"/>
                <w:szCs w:val="24"/>
              </w:rPr>
              <w:t>检查得分</w:t>
            </w:r>
          </w:p>
        </w:tc>
        <w:tc>
          <w:tcPr>
            <w:tcW w:w="2694" w:type="dxa"/>
            <w:tcBorders>
              <w:top w:val="single" w:color="auto" w:sz="4" w:space="0"/>
              <w:left w:val="nil"/>
              <w:bottom w:val="single" w:color="auto" w:sz="4" w:space="0"/>
              <w:right w:val="single" w:color="auto" w:sz="4" w:space="0"/>
            </w:tcBorders>
            <w:vAlign w:val="center"/>
          </w:tcPr>
          <w:p>
            <w:pPr>
              <w:widowControl/>
              <w:jc w:val="center"/>
              <w:rPr>
                <w:rFonts w:eastAsia="方正黑体_GBK" w:cs="方正黑体_GBK"/>
                <w:bCs/>
                <w:kern w:val="0"/>
                <w:sz w:val="24"/>
                <w:szCs w:val="24"/>
              </w:rPr>
            </w:pPr>
            <w:r>
              <w:rPr>
                <w:rFonts w:hint="eastAsia" w:eastAsia="方正黑体_GBK" w:cs="方正黑体_GBK"/>
                <w:bCs/>
                <w:kern w:val="0"/>
                <w:sz w:val="24"/>
                <w:szCs w:val="24"/>
              </w:rPr>
              <w:t>检查记录</w:t>
            </w:r>
          </w:p>
        </w:tc>
      </w:tr>
      <w:tr>
        <w:tblPrEx>
          <w:tblLayout w:type="fixed"/>
          <w:tblCellMar>
            <w:top w:w="0" w:type="dxa"/>
            <w:left w:w="108" w:type="dxa"/>
            <w:bottom w:w="0" w:type="dxa"/>
            <w:right w:w="108" w:type="dxa"/>
          </w:tblCellMar>
        </w:tblPrEx>
        <w:trPr>
          <w:cantSplit/>
          <w:trHeight w:val="432" w:hRule="atLeast"/>
          <w:jc w:val="center"/>
        </w:trPr>
        <w:tc>
          <w:tcPr>
            <w:tcW w:w="734" w:type="dxa"/>
            <w:vMerge w:val="restart"/>
            <w:tcBorders>
              <w:top w:val="nil"/>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4.1</w:t>
            </w:r>
          </w:p>
        </w:tc>
        <w:tc>
          <w:tcPr>
            <w:tcW w:w="1408" w:type="dxa"/>
            <w:vMerge w:val="restart"/>
            <w:tcBorders>
              <w:top w:val="nil"/>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人员要求</w:t>
            </w:r>
          </w:p>
        </w:tc>
        <w:tc>
          <w:tcPr>
            <w:tcW w:w="3969" w:type="dxa"/>
            <w:vMerge w:val="restart"/>
            <w:tcBorders>
              <w:top w:val="nil"/>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应</w:t>
            </w:r>
            <w:r>
              <w:rPr>
                <w:rFonts w:hint="eastAsia" w:cs="方正仿宋_GBK"/>
                <w:sz w:val="24"/>
                <w:szCs w:val="24"/>
              </w:rPr>
              <w:t>当</w:t>
            </w:r>
            <w:r>
              <w:rPr>
                <w:rFonts w:hint="eastAsia" w:cs="方正仿宋_GBK"/>
                <w:kern w:val="0"/>
                <w:sz w:val="24"/>
                <w:szCs w:val="24"/>
              </w:rPr>
              <w:t>配备食品安全管理人员和食品安全专业技术人员，明确其职责。人员要求应</w:t>
            </w:r>
            <w:r>
              <w:rPr>
                <w:rFonts w:hint="eastAsia" w:cs="方正仿宋_GBK"/>
                <w:sz w:val="24"/>
                <w:szCs w:val="24"/>
              </w:rPr>
              <w:t>当</w:t>
            </w:r>
            <w:r>
              <w:rPr>
                <w:rFonts w:hint="eastAsia" w:cs="方正仿宋_GBK"/>
                <w:kern w:val="0"/>
                <w:sz w:val="24"/>
                <w:szCs w:val="24"/>
              </w:rPr>
              <w:t>符合有关规定。</w:t>
            </w:r>
          </w:p>
        </w:tc>
        <w:tc>
          <w:tcPr>
            <w:tcW w:w="2976" w:type="dxa"/>
            <w:tcBorders>
              <w:top w:val="nil"/>
              <w:left w:val="nil"/>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符合规定要求。</w:t>
            </w:r>
          </w:p>
        </w:tc>
        <w:tc>
          <w:tcPr>
            <w:tcW w:w="426" w:type="dxa"/>
            <w:tcBorders>
              <w:top w:val="nil"/>
              <w:left w:val="nil"/>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3</w:t>
            </w:r>
          </w:p>
        </w:tc>
        <w:tc>
          <w:tcPr>
            <w:tcW w:w="1275" w:type="dxa"/>
            <w:vMerge w:val="restart"/>
            <w:tcBorders>
              <w:top w:val="nil"/>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　</w:t>
            </w:r>
          </w:p>
        </w:tc>
        <w:tc>
          <w:tcPr>
            <w:tcW w:w="2694" w:type="dxa"/>
            <w:vMerge w:val="restart"/>
            <w:tcBorders>
              <w:top w:val="nil"/>
              <w:left w:val="single" w:color="auto" w:sz="4" w:space="0"/>
              <w:bottom w:val="single" w:color="auto" w:sz="4" w:space="0"/>
              <w:right w:val="single" w:color="auto" w:sz="4" w:space="0"/>
            </w:tcBorders>
            <w:vAlign w:val="center"/>
          </w:tcPr>
          <w:p>
            <w:pPr>
              <w:widowControl/>
              <w:rPr>
                <w:rFonts w:cs="方正仿宋_GBK"/>
                <w:kern w:val="0"/>
                <w:sz w:val="24"/>
                <w:szCs w:val="24"/>
              </w:rPr>
            </w:pPr>
          </w:p>
        </w:tc>
      </w:tr>
      <w:tr>
        <w:tblPrEx>
          <w:tblLayout w:type="fixed"/>
          <w:tblCellMar>
            <w:top w:w="0" w:type="dxa"/>
            <w:left w:w="108" w:type="dxa"/>
            <w:bottom w:w="0" w:type="dxa"/>
            <w:right w:w="108" w:type="dxa"/>
          </w:tblCellMar>
        </w:tblPrEx>
        <w:trPr>
          <w:cantSplit/>
          <w:trHeight w:val="552" w:hRule="atLeast"/>
          <w:jc w:val="center"/>
        </w:trPr>
        <w:tc>
          <w:tcPr>
            <w:tcW w:w="734"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3969"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976" w:type="dxa"/>
            <w:tcBorders>
              <w:top w:val="nil"/>
              <w:left w:val="nil"/>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人员职责不太明确。</w:t>
            </w:r>
          </w:p>
        </w:tc>
        <w:tc>
          <w:tcPr>
            <w:tcW w:w="426" w:type="dxa"/>
            <w:tcBorders>
              <w:top w:val="nil"/>
              <w:left w:val="nil"/>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1</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694"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r>
      <w:tr>
        <w:tblPrEx>
          <w:tblLayout w:type="fixed"/>
          <w:tblCellMar>
            <w:top w:w="0" w:type="dxa"/>
            <w:left w:w="108" w:type="dxa"/>
            <w:bottom w:w="0" w:type="dxa"/>
            <w:right w:w="108" w:type="dxa"/>
          </w:tblCellMar>
        </w:tblPrEx>
        <w:trPr>
          <w:cantSplit/>
          <w:trHeight w:val="843" w:hRule="atLeast"/>
          <w:jc w:val="center"/>
        </w:trPr>
        <w:tc>
          <w:tcPr>
            <w:tcW w:w="734"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3969"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976" w:type="dxa"/>
            <w:tcBorders>
              <w:top w:val="nil"/>
              <w:left w:val="nil"/>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相关人员配备不足，或者人员要求不符合规定。</w:t>
            </w:r>
          </w:p>
        </w:tc>
        <w:tc>
          <w:tcPr>
            <w:tcW w:w="426" w:type="dxa"/>
            <w:tcBorders>
              <w:top w:val="nil"/>
              <w:left w:val="nil"/>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0</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694"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r>
      <w:tr>
        <w:tblPrEx>
          <w:tblLayout w:type="fixed"/>
          <w:tblCellMar>
            <w:top w:w="0" w:type="dxa"/>
            <w:left w:w="108" w:type="dxa"/>
            <w:bottom w:w="0" w:type="dxa"/>
            <w:right w:w="108" w:type="dxa"/>
          </w:tblCellMar>
        </w:tblPrEx>
        <w:trPr>
          <w:cantSplit/>
          <w:trHeight w:val="557" w:hRule="atLeast"/>
          <w:jc w:val="center"/>
        </w:trPr>
        <w:tc>
          <w:tcPr>
            <w:tcW w:w="734" w:type="dxa"/>
            <w:vMerge w:val="restart"/>
            <w:tcBorders>
              <w:top w:val="nil"/>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4.2</w:t>
            </w:r>
          </w:p>
        </w:tc>
        <w:tc>
          <w:tcPr>
            <w:tcW w:w="1408" w:type="dxa"/>
            <w:vMerge w:val="restart"/>
            <w:tcBorders>
              <w:top w:val="nil"/>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人员培训</w:t>
            </w:r>
          </w:p>
        </w:tc>
        <w:tc>
          <w:tcPr>
            <w:tcW w:w="3969" w:type="dxa"/>
            <w:vMerge w:val="restart"/>
            <w:tcBorders>
              <w:top w:val="nil"/>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应</w:t>
            </w:r>
            <w:r>
              <w:rPr>
                <w:rFonts w:hint="eastAsia" w:cs="方正仿宋_GBK"/>
                <w:sz w:val="24"/>
                <w:szCs w:val="24"/>
              </w:rPr>
              <w:t>当</w:t>
            </w:r>
            <w:r>
              <w:rPr>
                <w:rFonts w:hint="eastAsia" w:cs="方正仿宋_GBK"/>
                <w:kern w:val="0"/>
                <w:sz w:val="24"/>
                <w:szCs w:val="24"/>
              </w:rPr>
              <w:t>制定职工培训计划，开展食品安全知识及卫生培训。食品安全管理人员上岗前应当经过培训，并考核合格。</w:t>
            </w:r>
          </w:p>
        </w:tc>
        <w:tc>
          <w:tcPr>
            <w:tcW w:w="2976" w:type="dxa"/>
            <w:tcBorders>
              <w:top w:val="nil"/>
              <w:left w:val="nil"/>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符合规定要求。</w:t>
            </w:r>
          </w:p>
        </w:tc>
        <w:tc>
          <w:tcPr>
            <w:tcW w:w="426" w:type="dxa"/>
            <w:tcBorders>
              <w:top w:val="nil"/>
              <w:left w:val="nil"/>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3</w:t>
            </w:r>
          </w:p>
        </w:tc>
        <w:tc>
          <w:tcPr>
            <w:tcW w:w="1275" w:type="dxa"/>
            <w:vMerge w:val="restart"/>
            <w:tcBorders>
              <w:top w:val="nil"/>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　</w:t>
            </w:r>
          </w:p>
        </w:tc>
        <w:tc>
          <w:tcPr>
            <w:tcW w:w="2694" w:type="dxa"/>
            <w:vMerge w:val="restart"/>
            <w:tcBorders>
              <w:top w:val="nil"/>
              <w:left w:val="single" w:color="auto" w:sz="4" w:space="0"/>
              <w:bottom w:val="single" w:color="auto" w:sz="4" w:space="0"/>
              <w:right w:val="single" w:color="auto" w:sz="4" w:space="0"/>
            </w:tcBorders>
            <w:vAlign w:val="center"/>
          </w:tcPr>
          <w:p>
            <w:pPr>
              <w:widowControl/>
              <w:rPr>
                <w:rFonts w:cs="方正仿宋_GBK"/>
                <w:kern w:val="0"/>
                <w:sz w:val="24"/>
                <w:szCs w:val="24"/>
              </w:rPr>
            </w:pPr>
          </w:p>
        </w:tc>
      </w:tr>
      <w:tr>
        <w:tblPrEx>
          <w:tblLayout w:type="fixed"/>
          <w:tblCellMar>
            <w:top w:w="0" w:type="dxa"/>
            <w:left w:w="108" w:type="dxa"/>
            <w:bottom w:w="0" w:type="dxa"/>
            <w:right w:w="108" w:type="dxa"/>
          </w:tblCellMar>
        </w:tblPrEx>
        <w:trPr>
          <w:cantSplit/>
          <w:trHeight w:val="834" w:hRule="atLeast"/>
          <w:jc w:val="center"/>
        </w:trPr>
        <w:tc>
          <w:tcPr>
            <w:tcW w:w="734"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3969"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976" w:type="dxa"/>
            <w:tcBorders>
              <w:top w:val="nil"/>
              <w:left w:val="nil"/>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培训计划及计划执行略有不足。</w:t>
            </w:r>
          </w:p>
        </w:tc>
        <w:tc>
          <w:tcPr>
            <w:tcW w:w="426" w:type="dxa"/>
            <w:tcBorders>
              <w:top w:val="nil"/>
              <w:left w:val="nil"/>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1</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694"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r>
      <w:tr>
        <w:tblPrEx>
          <w:tblLayout w:type="fixed"/>
          <w:tblCellMar>
            <w:top w:w="0" w:type="dxa"/>
            <w:left w:w="108" w:type="dxa"/>
            <w:bottom w:w="0" w:type="dxa"/>
            <w:right w:w="108" w:type="dxa"/>
          </w:tblCellMar>
        </w:tblPrEx>
        <w:trPr>
          <w:cantSplit/>
          <w:trHeight w:val="1272" w:hRule="atLeast"/>
          <w:jc w:val="center"/>
        </w:trPr>
        <w:tc>
          <w:tcPr>
            <w:tcW w:w="734"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3969"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976" w:type="dxa"/>
            <w:tcBorders>
              <w:top w:val="nil"/>
              <w:left w:val="nil"/>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无培训计划，或者已上岗的相关人员未经培训或考核不合格。</w:t>
            </w:r>
          </w:p>
        </w:tc>
        <w:tc>
          <w:tcPr>
            <w:tcW w:w="426" w:type="dxa"/>
            <w:tcBorders>
              <w:top w:val="nil"/>
              <w:left w:val="nil"/>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0</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694"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r>
      <w:tr>
        <w:tblPrEx>
          <w:tblLayout w:type="fixed"/>
          <w:tblCellMar>
            <w:top w:w="0" w:type="dxa"/>
            <w:left w:w="108" w:type="dxa"/>
            <w:bottom w:w="0" w:type="dxa"/>
            <w:right w:w="108" w:type="dxa"/>
          </w:tblCellMar>
        </w:tblPrEx>
        <w:trPr>
          <w:cantSplit/>
          <w:trHeight w:val="553" w:hRule="atLeast"/>
          <w:jc w:val="center"/>
        </w:trPr>
        <w:tc>
          <w:tcPr>
            <w:tcW w:w="734" w:type="dxa"/>
            <w:vMerge w:val="restart"/>
            <w:tcBorders>
              <w:top w:val="nil"/>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4.3</w:t>
            </w:r>
          </w:p>
        </w:tc>
        <w:tc>
          <w:tcPr>
            <w:tcW w:w="1408" w:type="dxa"/>
            <w:vMerge w:val="restart"/>
            <w:tcBorders>
              <w:top w:val="nil"/>
              <w:left w:val="nil"/>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人员健康管理制度　</w:t>
            </w:r>
          </w:p>
        </w:tc>
        <w:tc>
          <w:tcPr>
            <w:tcW w:w="3969" w:type="dxa"/>
            <w:vMerge w:val="restart"/>
            <w:tcBorders>
              <w:top w:val="nil"/>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应</w:t>
            </w:r>
            <w:r>
              <w:rPr>
                <w:rFonts w:hint="eastAsia" w:cs="方正仿宋_GBK"/>
                <w:sz w:val="24"/>
                <w:szCs w:val="24"/>
              </w:rPr>
              <w:t>当</w:t>
            </w:r>
            <w:r>
              <w:rPr>
                <w:rFonts w:hint="eastAsia" w:cs="方正仿宋_GBK"/>
                <w:kern w:val="0"/>
                <w:sz w:val="24"/>
                <w:szCs w:val="24"/>
              </w:rPr>
              <w:t>建立从业人员健康管理制度，明确患有国务院卫生行政部门规定的有碍食品安全疾病的或有明显皮肤损伤未愈合的人员，不得从事接触直接入口食品的工作。从事接触直接入口食品工作的食品生产人员应当每年进行健康检查，取得健康证明后方可上岗工作。</w:t>
            </w:r>
          </w:p>
        </w:tc>
        <w:tc>
          <w:tcPr>
            <w:tcW w:w="2976" w:type="dxa"/>
            <w:tcBorders>
              <w:top w:val="nil"/>
              <w:left w:val="nil"/>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符合规定要求。</w:t>
            </w:r>
          </w:p>
        </w:tc>
        <w:tc>
          <w:tcPr>
            <w:tcW w:w="426" w:type="dxa"/>
            <w:tcBorders>
              <w:top w:val="nil"/>
              <w:left w:val="nil"/>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3</w:t>
            </w:r>
          </w:p>
        </w:tc>
        <w:tc>
          <w:tcPr>
            <w:tcW w:w="1275" w:type="dxa"/>
            <w:vMerge w:val="restart"/>
            <w:tcBorders>
              <w:top w:val="nil"/>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　</w:t>
            </w:r>
          </w:p>
        </w:tc>
        <w:tc>
          <w:tcPr>
            <w:tcW w:w="2694" w:type="dxa"/>
            <w:vMerge w:val="restart"/>
            <w:tcBorders>
              <w:top w:val="nil"/>
              <w:left w:val="single" w:color="auto" w:sz="4" w:space="0"/>
              <w:bottom w:val="single" w:color="auto" w:sz="4" w:space="0"/>
              <w:right w:val="single" w:color="auto" w:sz="4" w:space="0"/>
            </w:tcBorders>
            <w:vAlign w:val="center"/>
          </w:tcPr>
          <w:p>
            <w:pPr>
              <w:widowControl/>
              <w:rPr>
                <w:rFonts w:cs="方正仿宋_GBK"/>
                <w:kern w:val="0"/>
                <w:sz w:val="24"/>
                <w:szCs w:val="24"/>
              </w:rPr>
            </w:pPr>
          </w:p>
        </w:tc>
      </w:tr>
      <w:tr>
        <w:tblPrEx>
          <w:tblLayout w:type="fixed"/>
          <w:tblCellMar>
            <w:top w:w="0" w:type="dxa"/>
            <w:left w:w="108" w:type="dxa"/>
            <w:bottom w:w="0" w:type="dxa"/>
            <w:right w:w="108" w:type="dxa"/>
          </w:tblCellMar>
        </w:tblPrEx>
        <w:trPr>
          <w:cantSplit/>
          <w:trHeight w:val="844" w:hRule="atLeast"/>
          <w:jc w:val="center"/>
        </w:trPr>
        <w:tc>
          <w:tcPr>
            <w:tcW w:w="734"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08" w:type="dxa"/>
            <w:vMerge w:val="continue"/>
            <w:tcBorders>
              <w:top w:val="nil"/>
              <w:left w:val="nil"/>
              <w:bottom w:val="single" w:color="auto" w:sz="4" w:space="0"/>
              <w:right w:val="single" w:color="auto" w:sz="4" w:space="0"/>
            </w:tcBorders>
            <w:vAlign w:val="center"/>
          </w:tcPr>
          <w:p>
            <w:pPr>
              <w:widowControl/>
              <w:jc w:val="left"/>
              <w:rPr>
                <w:rFonts w:cs="方正仿宋_GBK"/>
                <w:kern w:val="0"/>
                <w:sz w:val="24"/>
                <w:szCs w:val="24"/>
              </w:rPr>
            </w:pPr>
          </w:p>
        </w:tc>
        <w:tc>
          <w:tcPr>
            <w:tcW w:w="3969"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976" w:type="dxa"/>
            <w:tcBorders>
              <w:top w:val="nil"/>
              <w:left w:val="nil"/>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制度内容略有缺陷，或者个别人员未能提供健康证明。</w:t>
            </w:r>
          </w:p>
        </w:tc>
        <w:tc>
          <w:tcPr>
            <w:tcW w:w="426" w:type="dxa"/>
            <w:tcBorders>
              <w:top w:val="nil"/>
              <w:left w:val="nil"/>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1</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694"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r>
      <w:tr>
        <w:tblPrEx>
          <w:tblLayout w:type="fixed"/>
          <w:tblCellMar>
            <w:top w:w="0" w:type="dxa"/>
            <w:left w:w="108" w:type="dxa"/>
            <w:bottom w:w="0" w:type="dxa"/>
            <w:right w:w="108" w:type="dxa"/>
          </w:tblCellMar>
        </w:tblPrEx>
        <w:trPr>
          <w:cantSplit/>
          <w:trHeight w:val="1552" w:hRule="atLeast"/>
          <w:jc w:val="center"/>
        </w:trPr>
        <w:tc>
          <w:tcPr>
            <w:tcW w:w="734"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08" w:type="dxa"/>
            <w:vMerge w:val="continue"/>
            <w:tcBorders>
              <w:top w:val="nil"/>
              <w:left w:val="nil"/>
              <w:bottom w:val="single" w:color="auto" w:sz="4" w:space="0"/>
              <w:right w:val="single" w:color="auto" w:sz="4" w:space="0"/>
            </w:tcBorders>
            <w:vAlign w:val="center"/>
          </w:tcPr>
          <w:p>
            <w:pPr>
              <w:widowControl/>
              <w:jc w:val="left"/>
              <w:rPr>
                <w:rFonts w:cs="方正仿宋_GBK"/>
                <w:kern w:val="0"/>
                <w:sz w:val="24"/>
                <w:szCs w:val="24"/>
              </w:rPr>
            </w:pPr>
          </w:p>
        </w:tc>
        <w:tc>
          <w:tcPr>
            <w:tcW w:w="3969"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976" w:type="dxa"/>
            <w:tcBorders>
              <w:top w:val="nil"/>
              <w:left w:val="nil"/>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无制度，或者人员健康管理严重不足。</w:t>
            </w:r>
          </w:p>
        </w:tc>
        <w:tc>
          <w:tcPr>
            <w:tcW w:w="426" w:type="dxa"/>
            <w:tcBorders>
              <w:top w:val="nil"/>
              <w:left w:val="nil"/>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0</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694"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r>
    </w:tbl>
    <w:p>
      <w:pPr>
        <w:spacing w:before="589" w:beforeLines="100" w:after="294" w:afterLines="50" w:line="400" w:lineRule="exact"/>
        <w:jc w:val="center"/>
        <w:outlineLvl w:val="0"/>
        <w:rPr>
          <w:rFonts w:eastAsia="黑体"/>
          <w:szCs w:val="32"/>
        </w:rPr>
      </w:pPr>
      <w:r>
        <w:rPr>
          <w:rFonts w:hint="eastAsia" w:eastAsia="黑体"/>
          <w:szCs w:val="32"/>
        </w:rPr>
        <w:br w:type="page"/>
      </w:r>
    </w:p>
    <w:p>
      <w:pPr>
        <w:spacing w:before="589" w:beforeLines="100" w:after="294" w:afterLines="50" w:line="400" w:lineRule="exact"/>
        <w:jc w:val="center"/>
        <w:outlineLvl w:val="0"/>
        <w:rPr>
          <w:rFonts w:eastAsia="方正黑体_GBK" w:cs="方正黑体_GBK"/>
          <w:szCs w:val="32"/>
        </w:rPr>
      </w:pPr>
      <w:r>
        <w:rPr>
          <w:rFonts w:hint="eastAsia" w:eastAsia="方正黑体_GBK" w:cs="方正黑体_GBK"/>
          <w:szCs w:val="32"/>
        </w:rPr>
        <w:t>五、管理制度（共24分）</w:t>
      </w:r>
    </w:p>
    <w:tbl>
      <w:tblPr>
        <w:tblStyle w:val="9"/>
        <w:tblW w:w="13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3960"/>
        <w:gridCol w:w="2880"/>
        <w:gridCol w:w="540"/>
        <w:gridCol w:w="1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720" w:type="dxa"/>
            <w:tcBorders>
              <w:top w:val="single" w:color="auto" w:sz="4" w:space="0"/>
              <w:left w:val="single" w:color="auto" w:sz="4" w:space="0"/>
              <w:bottom w:val="single" w:color="auto" w:sz="4" w:space="0"/>
              <w:right w:val="single" w:color="auto" w:sz="4" w:space="0"/>
            </w:tcBorders>
          </w:tcPr>
          <w:p>
            <w:pPr>
              <w:widowControl/>
              <w:jc w:val="center"/>
              <w:rPr>
                <w:rFonts w:eastAsia="方正黑体_GBK" w:cs="方正黑体_GBK"/>
                <w:bCs/>
                <w:kern w:val="0"/>
                <w:sz w:val="24"/>
                <w:szCs w:val="24"/>
              </w:rPr>
            </w:pPr>
            <w:r>
              <w:rPr>
                <w:rFonts w:hint="eastAsia" w:eastAsia="方正黑体_GBK" w:cs="方正黑体_GBK"/>
                <w:bCs/>
                <w:kern w:val="0"/>
                <w:sz w:val="24"/>
                <w:szCs w:val="24"/>
              </w:rPr>
              <w:t>序号</w:t>
            </w:r>
          </w:p>
        </w:tc>
        <w:tc>
          <w:tcPr>
            <w:tcW w:w="1440" w:type="dxa"/>
            <w:tcBorders>
              <w:top w:val="single" w:color="auto" w:sz="4" w:space="0"/>
              <w:left w:val="single" w:color="auto" w:sz="4" w:space="0"/>
              <w:bottom w:val="single" w:color="auto" w:sz="4" w:space="0"/>
              <w:right w:val="single" w:color="auto" w:sz="4" w:space="0"/>
            </w:tcBorders>
          </w:tcPr>
          <w:p>
            <w:pPr>
              <w:widowControl/>
              <w:jc w:val="center"/>
              <w:rPr>
                <w:rFonts w:eastAsia="方正黑体_GBK" w:cs="方正黑体_GBK"/>
                <w:bCs/>
                <w:kern w:val="0"/>
                <w:sz w:val="24"/>
                <w:szCs w:val="24"/>
              </w:rPr>
            </w:pPr>
            <w:r>
              <w:rPr>
                <w:rFonts w:hint="eastAsia" w:eastAsia="方正黑体_GBK" w:cs="方正黑体_GBK"/>
                <w:bCs/>
                <w:kern w:val="0"/>
                <w:sz w:val="24"/>
                <w:szCs w:val="24"/>
              </w:rPr>
              <w:t>检查项目</w:t>
            </w:r>
          </w:p>
        </w:tc>
        <w:tc>
          <w:tcPr>
            <w:tcW w:w="3960" w:type="dxa"/>
            <w:tcBorders>
              <w:top w:val="single" w:color="auto" w:sz="4" w:space="0"/>
              <w:left w:val="single" w:color="auto" w:sz="4" w:space="0"/>
              <w:bottom w:val="single" w:color="auto" w:sz="4" w:space="0"/>
              <w:right w:val="single" w:color="auto" w:sz="4" w:space="0"/>
            </w:tcBorders>
          </w:tcPr>
          <w:p>
            <w:pPr>
              <w:widowControl/>
              <w:jc w:val="center"/>
              <w:rPr>
                <w:rFonts w:eastAsia="方正黑体_GBK" w:cs="方正黑体_GBK"/>
                <w:bCs/>
                <w:kern w:val="0"/>
                <w:sz w:val="24"/>
                <w:szCs w:val="24"/>
              </w:rPr>
            </w:pPr>
            <w:r>
              <w:rPr>
                <w:rFonts w:hint="eastAsia" w:eastAsia="方正黑体_GBK" w:cs="方正黑体_GBK"/>
                <w:bCs/>
                <w:kern w:val="0"/>
                <w:sz w:val="24"/>
                <w:szCs w:val="24"/>
              </w:rPr>
              <w:t>检查内容</w:t>
            </w:r>
          </w:p>
        </w:tc>
        <w:tc>
          <w:tcPr>
            <w:tcW w:w="3420" w:type="dxa"/>
            <w:gridSpan w:val="2"/>
            <w:tcBorders>
              <w:top w:val="single" w:color="auto" w:sz="4" w:space="0"/>
              <w:left w:val="single" w:color="auto" w:sz="4" w:space="0"/>
              <w:bottom w:val="single" w:color="auto" w:sz="4" w:space="0"/>
              <w:right w:val="single" w:color="auto" w:sz="4" w:space="0"/>
            </w:tcBorders>
          </w:tcPr>
          <w:p>
            <w:pPr>
              <w:widowControl/>
              <w:jc w:val="center"/>
              <w:rPr>
                <w:rFonts w:eastAsia="方正黑体_GBK" w:cs="方正黑体_GBK"/>
                <w:bCs/>
                <w:kern w:val="0"/>
                <w:sz w:val="24"/>
                <w:szCs w:val="24"/>
              </w:rPr>
            </w:pPr>
            <w:r>
              <w:rPr>
                <w:rFonts w:hint="eastAsia" w:eastAsia="方正黑体_GBK" w:cs="方正黑体_GBK"/>
                <w:bCs/>
                <w:kern w:val="0"/>
                <w:sz w:val="24"/>
                <w:szCs w:val="24"/>
              </w:rPr>
              <w:t>评分标准</w:t>
            </w:r>
          </w:p>
        </w:tc>
        <w:tc>
          <w:tcPr>
            <w:tcW w:w="1260" w:type="dxa"/>
            <w:tcBorders>
              <w:top w:val="single" w:color="auto" w:sz="4" w:space="0"/>
              <w:left w:val="single" w:color="auto" w:sz="4" w:space="0"/>
              <w:bottom w:val="single" w:color="auto" w:sz="4" w:space="0"/>
              <w:right w:val="single" w:color="auto" w:sz="4" w:space="0"/>
            </w:tcBorders>
          </w:tcPr>
          <w:p>
            <w:pPr>
              <w:widowControl/>
              <w:jc w:val="center"/>
              <w:rPr>
                <w:rFonts w:eastAsia="方正黑体_GBK" w:cs="方正黑体_GBK"/>
                <w:bCs/>
                <w:kern w:val="0"/>
                <w:sz w:val="24"/>
                <w:szCs w:val="24"/>
              </w:rPr>
            </w:pPr>
            <w:r>
              <w:rPr>
                <w:rFonts w:hint="eastAsia" w:eastAsia="方正黑体_GBK" w:cs="方正黑体_GBK"/>
                <w:bCs/>
                <w:kern w:val="0"/>
                <w:sz w:val="24"/>
                <w:szCs w:val="24"/>
              </w:rPr>
              <w:t>检查得分</w:t>
            </w:r>
          </w:p>
        </w:tc>
        <w:tc>
          <w:tcPr>
            <w:tcW w:w="2700" w:type="dxa"/>
            <w:tcBorders>
              <w:top w:val="single" w:color="auto" w:sz="4" w:space="0"/>
              <w:left w:val="single" w:color="auto" w:sz="4" w:space="0"/>
              <w:bottom w:val="single" w:color="auto" w:sz="4" w:space="0"/>
              <w:right w:val="single" w:color="auto" w:sz="4" w:space="0"/>
            </w:tcBorders>
          </w:tcPr>
          <w:p>
            <w:pPr>
              <w:widowControl/>
              <w:jc w:val="center"/>
              <w:rPr>
                <w:rFonts w:eastAsia="方正黑体_GBK" w:cs="方正黑体_GBK"/>
                <w:bCs/>
                <w:kern w:val="0"/>
                <w:sz w:val="24"/>
                <w:szCs w:val="24"/>
              </w:rPr>
            </w:pPr>
            <w:r>
              <w:rPr>
                <w:rFonts w:hint="eastAsia" w:eastAsia="方正黑体_GBK" w:cs="方正黑体_GBK"/>
                <w:bCs/>
                <w:kern w:val="0"/>
                <w:sz w:val="24"/>
                <w:szCs w:val="24"/>
              </w:rPr>
              <w:t>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5.1</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进货查验记录制度</w:t>
            </w:r>
          </w:p>
        </w:tc>
        <w:tc>
          <w:tcPr>
            <w:tcW w:w="39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应</w:t>
            </w:r>
            <w:r>
              <w:rPr>
                <w:rFonts w:hint="eastAsia" w:cs="方正仿宋_GBK"/>
                <w:sz w:val="24"/>
                <w:szCs w:val="24"/>
              </w:rPr>
              <w:t>当</w:t>
            </w:r>
            <w:r>
              <w:rPr>
                <w:rFonts w:hint="eastAsia" w:cs="方正仿宋_GBK"/>
                <w:kern w:val="0"/>
                <w:sz w:val="24"/>
                <w:szCs w:val="24"/>
              </w:rPr>
              <w:t>建立进货查验记录制度，并规定采购原辅料时，应当查验供货者的许可证和产品合格证明，记录采购的原辅料名称、规格、数量、生产日期或者生产批号、保质期、进货日期以及供货者名称、地址、联系方式等信息，保存相关记录和凭证。</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tabs>
                <w:tab w:val="left" w:pos="2664"/>
              </w:tabs>
              <w:rPr>
                <w:rFonts w:cs="方正仿宋_GBK"/>
                <w:kern w:val="0"/>
                <w:sz w:val="24"/>
                <w:szCs w:val="24"/>
              </w:rPr>
            </w:pPr>
            <w:r>
              <w:rPr>
                <w:rFonts w:hint="eastAsia" w:cs="方正仿宋_GBK"/>
                <w:kern w:val="0"/>
                <w:sz w:val="24"/>
                <w:szCs w:val="24"/>
              </w:rPr>
              <w:t>符合规定要求。</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3</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　</w:t>
            </w:r>
          </w:p>
        </w:tc>
        <w:tc>
          <w:tcPr>
            <w:tcW w:w="2700" w:type="dxa"/>
            <w:vMerge w:val="restart"/>
            <w:tcBorders>
              <w:top w:val="single" w:color="auto" w:sz="4" w:space="0"/>
              <w:left w:val="single" w:color="auto" w:sz="4" w:space="0"/>
              <w:bottom w:val="single" w:color="auto" w:sz="4" w:space="0"/>
              <w:right w:val="single" w:color="auto" w:sz="4" w:space="0"/>
            </w:tcBorders>
          </w:tcPr>
          <w:p>
            <w:pPr>
              <w:widowControl/>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3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制度内容略有不足。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1</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3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无制度，或者制度内容严重不足。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0</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5.2</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生产过程控制制度</w:t>
            </w:r>
          </w:p>
        </w:tc>
        <w:tc>
          <w:tcPr>
            <w:tcW w:w="39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应</w:t>
            </w:r>
            <w:r>
              <w:rPr>
                <w:rFonts w:hint="eastAsia" w:cs="方正仿宋_GBK"/>
                <w:sz w:val="24"/>
                <w:szCs w:val="24"/>
              </w:rPr>
              <w:t>当</w:t>
            </w:r>
            <w:r>
              <w:rPr>
                <w:rFonts w:hint="eastAsia" w:cs="方正仿宋_GBK"/>
                <w:kern w:val="0"/>
                <w:sz w:val="24"/>
                <w:szCs w:val="24"/>
              </w:rPr>
              <w:t>建立生产过程控制制度，明确原料控制（如领料、投料等）、生产关键环节控制（如生产工序、设备管理、贮存、包装等）、检验控制（如原料检验、半成品检验、成品出厂检验等）以及运输和交付控制的相关要求。</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符合规定要求。</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3</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　</w:t>
            </w:r>
          </w:p>
        </w:tc>
        <w:tc>
          <w:tcPr>
            <w:tcW w:w="2700" w:type="dxa"/>
            <w:vMerge w:val="restart"/>
            <w:tcBorders>
              <w:top w:val="single" w:color="auto" w:sz="4" w:space="0"/>
              <w:left w:val="single" w:color="auto" w:sz="4" w:space="0"/>
              <w:bottom w:val="single" w:color="auto" w:sz="4" w:space="0"/>
              <w:right w:val="single" w:color="auto" w:sz="4" w:space="0"/>
            </w:tcBorders>
          </w:tcPr>
          <w:p>
            <w:pPr>
              <w:widowControl/>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3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个别制度内容略有不足。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1</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3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无制度，或者制度内容严重不足。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0</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5.3</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出厂检验记录制度</w:t>
            </w:r>
          </w:p>
        </w:tc>
        <w:tc>
          <w:tcPr>
            <w:tcW w:w="39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应</w:t>
            </w:r>
            <w:r>
              <w:rPr>
                <w:rFonts w:hint="eastAsia" w:cs="方正仿宋_GBK"/>
                <w:sz w:val="24"/>
                <w:szCs w:val="24"/>
              </w:rPr>
              <w:t>当</w:t>
            </w:r>
            <w:r>
              <w:rPr>
                <w:rFonts w:hint="eastAsia" w:cs="方正仿宋_GBK"/>
                <w:kern w:val="0"/>
                <w:sz w:val="24"/>
                <w:szCs w:val="24"/>
              </w:rPr>
              <w:t>建立出厂检验记录制度，并规定食品出厂时，应当查验出厂食品的检验合格证和安全状况，记录食品的名称、规格、数量、生产日期或者生产批号、保质期、检验合格证号、销售日期以及购货者名称、地址、联系方式等信息，保存相关记录和凭证。</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符合规定要求。</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3</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　</w:t>
            </w:r>
          </w:p>
        </w:tc>
        <w:tc>
          <w:tcPr>
            <w:tcW w:w="2700" w:type="dxa"/>
            <w:vMerge w:val="restart"/>
            <w:tcBorders>
              <w:top w:val="single" w:color="auto" w:sz="4" w:space="0"/>
              <w:left w:val="single" w:color="auto" w:sz="4" w:space="0"/>
              <w:bottom w:val="single" w:color="auto" w:sz="4" w:space="0"/>
              <w:right w:val="single" w:color="auto" w:sz="4" w:space="0"/>
            </w:tcBorders>
          </w:tcPr>
          <w:p>
            <w:pPr>
              <w:widowControl/>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3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制度内容略有不足。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1</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3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无制度，或者制度内容严重不足。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0</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5.4</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不安全食品召回制度及不合格品管理</w:t>
            </w:r>
          </w:p>
        </w:tc>
        <w:tc>
          <w:tcPr>
            <w:tcW w:w="39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1.应</w:t>
            </w:r>
            <w:r>
              <w:rPr>
                <w:rFonts w:hint="eastAsia" w:cs="方正仿宋_GBK"/>
                <w:sz w:val="24"/>
                <w:szCs w:val="24"/>
              </w:rPr>
              <w:t>当</w:t>
            </w:r>
            <w:r>
              <w:rPr>
                <w:rFonts w:hint="eastAsia" w:cs="方正仿宋_GBK"/>
                <w:kern w:val="0"/>
                <w:sz w:val="24"/>
                <w:szCs w:val="24"/>
              </w:rPr>
              <w:t>建立不安全食品召回制度，并规定停止生产、召回和处置不安全食品的相关要求，记录召回和通知情况。</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符合规定要求。</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3</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　</w:t>
            </w:r>
          </w:p>
        </w:tc>
        <w:tc>
          <w:tcPr>
            <w:tcW w:w="2700" w:type="dxa"/>
            <w:vMerge w:val="restart"/>
            <w:tcBorders>
              <w:top w:val="single" w:color="auto" w:sz="4" w:space="0"/>
              <w:left w:val="single" w:color="auto" w:sz="4" w:space="0"/>
              <w:bottom w:val="single" w:color="auto" w:sz="4" w:space="0"/>
              <w:right w:val="single" w:color="auto" w:sz="4" w:space="0"/>
            </w:tcBorders>
          </w:tcPr>
          <w:p>
            <w:pPr>
              <w:widowControl/>
              <w:jc w:val="center"/>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3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制度内容略有不足。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1</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3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无制度，或者制度内容严重不足。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0</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39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2. 应</w:t>
            </w:r>
            <w:r>
              <w:rPr>
                <w:rFonts w:hint="eastAsia" w:cs="方正仿宋_GBK"/>
                <w:sz w:val="24"/>
                <w:szCs w:val="24"/>
              </w:rPr>
              <w:t>当</w:t>
            </w:r>
            <w:r>
              <w:rPr>
                <w:rFonts w:hint="eastAsia" w:cs="方正仿宋_GBK"/>
                <w:kern w:val="0"/>
                <w:sz w:val="24"/>
                <w:szCs w:val="24"/>
              </w:rPr>
              <w:t>规定生产过程中发现的原辅料、半成品、成品中不合格品的管理要求和处置措施。</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符合规定要求。</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3</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　</w:t>
            </w:r>
          </w:p>
        </w:tc>
        <w:tc>
          <w:tcPr>
            <w:tcW w:w="2700" w:type="dxa"/>
            <w:vMerge w:val="restart"/>
            <w:tcBorders>
              <w:top w:val="single" w:color="auto" w:sz="4" w:space="0"/>
              <w:left w:val="single" w:color="auto" w:sz="4" w:space="0"/>
              <w:bottom w:val="single" w:color="auto" w:sz="4" w:space="0"/>
              <w:right w:val="single" w:color="auto" w:sz="4" w:space="0"/>
            </w:tcBorders>
          </w:tcPr>
          <w:p>
            <w:pPr>
              <w:widowControl/>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3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管理要求和处置措施略有不足。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1</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3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无相关规定，或者管理要求和处置措施严重不足。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0</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5.5</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食品安全自查制度　</w:t>
            </w:r>
          </w:p>
        </w:tc>
        <w:tc>
          <w:tcPr>
            <w:tcW w:w="39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应</w:t>
            </w:r>
            <w:r>
              <w:rPr>
                <w:rFonts w:hint="eastAsia" w:cs="方正仿宋_GBK"/>
                <w:sz w:val="24"/>
                <w:szCs w:val="24"/>
              </w:rPr>
              <w:t>当</w:t>
            </w:r>
            <w:r>
              <w:rPr>
                <w:rFonts w:hint="eastAsia" w:cs="方正仿宋_GBK"/>
                <w:kern w:val="0"/>
                <w:sz w:val="24"/>
                <w:szCs w:val="24"/>
              </w:rPr>
              <w:t>建立食品安全自查制度，并规定对食品安全状况定期进行检查评价，并根据评价结果采取相应的处理措施。</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符合规定要求。</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3</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　</w:t>
            </w:r>
          </w:p>
        </w:tc>
        <w:tc>
          <w:tcPr>
            <w:tcW w:w="2700" w:type="dxa"/>
            <w:vMerge w:val="restart"/>
            <w:tcBorders>
              <w:top w:val="single" w:color="auto" w:sz="4" w:space="0"/>
              <w:left w:val="single" w:color="auto" w:sz="4" w:space="0"/>
              <w:bottom w:val="single" w:color="auto" w:sz="4" w:space="0"/>
              <w:right w:val="single" w:color="auto" w:sz="4" w:space="0"/>
            </w:tcBorders>
          </w:tcPr>
          <w:p>
            <w:pPr>
              <w:widowControl/>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3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制度内容略有不足。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1</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3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无制度，或者制度内容严重不足。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0</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5.6</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食品安全事故处置方案</w:t>
            </w:r>
          </w:p>
        </w:tc>
        <w:tc>
          <w:tcPr>
            <w:tcW w:w="39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应</w:t>
            </w:r>
            <w:r>
              <w:rPr>
                <w:rFonts w:hint="eastAsia" w:cs="方正仿宋_GBK"/>
                <w:sz w:val="24"/>
                <w:szCs w:val="24"/>
              </w:rPr>
              <w:t>当</w:t>
            </w:r>
            <w:r>
              <w:rPr>
                <w:rFonts w:hint="eastAsia" w:cs="方正仿宋_GBK"/>
                <w:kern w:val="0"/>
                <w:sz w:val="24"/>
                <w:szCs w:val="24"/>
              </w:rPr>
              <w:t>建立食品安全事故处置方案，并规定食品安全事故处置措施及向相关食品安全监管部门和卫生行政部门报告的要求。</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符合规定要求。</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3</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　</w:t>
            </w:r>
          </w:p>
        </w:tc>
        <w:tc>
          <w:tcPr>
            <w:tcW w:w="2700" w:type="dxa"/>
            <w:vMerge w:val="restart"/>
            <w:tcBorders>
              <w:top w:val="single" w:color="auto" w:sz="4" w:space="0"/>
              <w:left w:val="single" w:color="auto" w:sz="4" w:space="0"/>
              <w:bottom w:val="single" w:color="auto" w:sz="4" w:space="0"/>
              <w:right w:val="single" w:color="auto" w:sz="4" w:space="0"/>
            </w:tcBorders>
          </w:tcPr>
          <w:p>
            <w:pPr>
              <w:widowControl/>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3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方案内容略有不足。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1</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3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无方案，或者方案内容严重不足。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0</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5.7</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其他制度</w:t>
            </w:r>
          </w:p>
        </w:tc>
        <w:tc>
          <w:tcPr>
            <w:tcW w:w="39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应</w:t>
            </w:r>
            <w:r>
              <w:rPr>
                <w:rFonts w:hint="eastAsia" w:cs="方正仿宋_GBK"/>
                <w:sz w:val="24"/>
                <w:szCs w:val="24"/>
              </w:rPr>
              <w:t>当</w:t>
            </w:r>
            <w:r>
              <w:rPr>
                <w:rFonts w:hint="eastAsia" w:cs="方正仿宋_GBK"/>
                <w:kern w:val="0"/>
                <w:sz w:val="24"/>
                <w:szCs w:val="24"/>
              </w:rPr>
              <w:t>按照相关法律法规、食品安全标准以及审查细则规定，建立其他保障食品安全的管理制度。</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符合规定要求。</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3</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　</w:t>
            </w:r>
          </w:p>
        </w:tc>
        <w:tc>
          <w:tcPr>
            <w:tcW w:w="2700" w:type="dxa"/>
            <w:vMerge w:val="restart"/>
            <w:tcBorders>
              <w:top w:val="single" w:color="auto" w:sz="4" w:space="0"/>
              <w:left w:val="single" w:color="auto" w:sz="4" w:space="0"/>
              <w:bottom w:val="single" w:color="auto" w:sz="4" w:space="0"/>
              <w:right w:val="single" w:color="auto" w:sz="4" w:space="0"/>
            </w:tcBorders>
          </w:tcPr>
          <w:p>
            <w:pPr>
              <w:widowControl/>
              <w:jc w:val="center"/>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3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个别制度内容略有不足。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1</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3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cs="方正仿宋_GBK"/>
                <w:kern w:val="0"/>
                <w:sz w:val="24"/>
                <w:szCs w:val="24"/>
              </w:rPr>
            </w:pPr>
            <w:r>
              <w:rPr>
                <w:rFonts w:hint="eastAsia" w:cs="方正仿宋_GBK"/>
                <w:kern w:val="0"/>
                <w:sz w:val="24"/>
                <w:szCs w:val="24"/>
              </w:rPr>
              <w:t>无制度，或者制度内容严重不足。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0</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r>
    </w:tbl>
    <w:p>
      <w:pPr>
        <w:spacing w:before="589" w:beforeLines="100" w:after="294" w:afterLines="50" w:line="400" w:lineRule="exact"/>
        <w:jc w:val="center"/>
        <w:outlineLvl w:val="0"/>
        <w:rPr>
          <w:rFonts w:eastAsia="方正黑体_GBK" w:cs="方正黑体_GBK"/>
          <w:szCs w:val="32"/>
        </w:rPr>
      </w:pPr>
      <w:r>
        <w:rPr>
          <w:rFonts w:hint="eastAsia" w:eastAsia="方正黑体_GBK" w:cs="方正黑体_GBK"/>
          <w:szCs w:val="32"/>
        </w:rPr>
        <w:br w:type="page"/>
      </w:r>
    </w:p>
    <w:p>
      <w:pPr>
        <w:spacing w:before="589" w:beforeLines="100" w:after="294" w:afterLines="50" w:line="400" w:lineRule="exact"/>
        <w:jc w:val="center"/>
        <w:outlineLvl w:val="0"/>
        <w:rPr>
          <w:rFonts w:eastAsia="方正黑体_GBK" w:cs="方正黑体_GBK"/>
          <w:szCs w:val="32"/>
        </w:rPr>
      </w:pPr>
      <w:r>
        <w:rPr>
          <w:rFonts w:hint="eastAsia" w:eastAsia="方正黑体_GBK" w:cs="方正黑体_GBK"/>
          <w:szCs w:val="32"/>
        </w:rPr>
        <w:t>六、产品检验合格报告（共1分）</w:t>
      </w:r>
    </w:p>
    <w:tbl>
      <w:tblPr>
        <w:tblStyle w:val="9"/>
        <w:tblW w:w="13467" w:type="dxa"/>
        <w:jc w:val="center"/>
        <w:tblInd w:w="0" w:type="dxa"/>
        <w:tblLayout w:type="fixed"/>
        <w:tblCellMar>
          <w:top w:w="0" w:type="dxa"/>
          <w:left w:w="0" w:type="dxa"/>
          <w:bottom w:w="0" w:type="dxa"/>
          <w:right w:w="0" w:type="dxa"/>
        </w:tblCellMar>
      </w:tblPr>
      <w:tblGrid>
        <w:gridCol w:w="709"/>
        <w:gridCol w:w="1418"/>
        <w:gridCol w:w="3969"/>
        <w:gridCol w:w="2976"/>
        <w:gridCol w:w="426"/>
        <w:gridCol w:w="1275"/>
        <w:gridCol w:w="2694"/>
      </w:tblGrid>
      <w:tr>
        <w:tblPrEx>
          <w:tblLayout w:type="fixed"/>
          <w:tblCellMar>
            <w:top w:w="0" w:type="dxa"/>
            <w:left w:w="0" w:type="dxa"/>
            <w:bottom w:w="0" w:type="dxa"/>
            <w:right w:w="0" w:type="dxa"/>
          </w:tblCellMar>
        </w:tblPrEx>
        <w:trPr>
          <w:cantSplit/>
          <w:trHeight w:val="2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黑体_GBK" w:cs="方正黑体_GBK"/>
                <w:bCs/>
                <w:kern w:val="0"/>
                <w:sz w:val="24"/>
                <w:szCs w:val="24"/>
              </w:rPr>
            </w:pPr>
            <w:r>
              <w:rPr>
                <w:rFonts w:hint="eastAsia" w:eastAsia="方正黑体_GBK" w:cs="方正黑体_GBK"/>
                <w:bCs/>
                <w:kern w:val="0"/>
                <w:sz w:val="24"/>
                <w:szCs w:val="24"/>
              </w:rPr>
              <w:t>序号</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eastAsia="方正黑体_GBK" w:cs="方正黑体_GBK"/>
                <w:bCs/>
                <w:kern w:val="0"/>
                <w:sz w:val="24"/>
                <w:szCs w:val="24"/>
              </w:rPr>
            </w:pPr>
            <w:r>
              <w:rPr>
                <w:rFonts w:hint="eastAsia" w:eastAsia="方正黑体_GBK" w:cs="方正黑体_GBK"/>
                <w:bCs/>
                <w:kern w:val="0"/>
                <w:sz w:val="24"/>
                <w:szCs w:val="24"/>
              </w:rPr>
              <w:t>检查项目</w:t>
            </w:r>
          </w:p>
        </w:tc>
        <w:tc>
          <w:tcPr>
            <w:tcW w:w="3969" w:type="dxa"/>
            <w:tcBorders>
              <w:top w:val="single" w:color="auto" w:sz="4" w:space="0"/>
              <w:left w:val="nil"/>
              <w:bottom w:val="single" w:color="auto" w:sz="4" w:space="0"/>
              <w:right w:val="single" w:color="auto" w:sz="4" w:space="0"/>
            </w:tcBorders>
            <w:vAlign w:val="center"/>
          </w:tcPr>
          <w:p>
            <w:pPr>
              <w:widowControl/>
              <w:jc w:val="center"/>
              <w:rPr>
                <w:rFonts w:eastAsia="方正黑体_GBK" w:cs="方正黑体_GBK"/>
                <w:bCs/>
                <w:kern w:val="0"/>
                <w:sz w:val="24"/>
                <w:szCs w:val="24"/>
              </w:rPr>
            </w:pPr>
            <w:r>
              <w:rPr>
                <w:rFonts w:hint="eastAsia" w:eastAsia="方正黑体_GBK" w:cs="方正黑体_GBK"/>
                <w:bCs/>
                <w:kern w:val="0"/>
                <w:sz w:val="24"/>
                <w:szCs w:val="24"/>
              </w:rPr>
              <w:t>检查内容</w:t>
            </w:r>
          </w:p>
        </w:tc>
        <w:tc>
          <w:tcPr>
            <w:tcW w:w="3402" w:type="dxa"/>
            <w:gridSpan w:val="2"/>
            <w:tcBorders>
              <w:top w:val="single" w:color="auto" w:sz="4" w:space="0"/>
              <w:left w:val="nil"/>
              <w:bottom w:val="single" w:color="auto" w:sz="4" w:space="0"/>
              <w:right w:val="single" w:color="auto" w:sz="4" w:space="0"/>
            </w:tcBorders>
            <w:vAlign w:val="center"/>
          </w:tcPr>
          <w:p>
            <w:pPr>
              <w:widowControl/>
              <w:jc w:val="center"/>
              <w:rPr>
                <w:rFonts w:eastAsia="方正黑体_GBK" w:cs="方正黑体_GBK"/>
                <w:bCs/>
                <w:kern w:val="0"/>
                <w:sz w:val="24"/>
                <w:szCs w:val="24"/>
              </w:rPr>
            </w:pPr>
            <w:r>
              <w:rPr>
                <w:rFonts w:hint="eastAsia" w:eastAsia="方正黑体_GBK" w:cs="方正黑体_GBK"/>
                <w:bCs/>
                <w:kern w:val="0"/>
                <w:sz w:val="24"/>
                <w:szCs w:val="24"/>
              </w:rPr>
              <w:t>评分标准</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eastAsia="方正黑体_GBK" w:cs="方正黑体_GBK"/>
                <w:bCs/>
                <w:kern w:val="0"/>
                <w:sz w:val="24"/>
                <w:szCs w:val="24"/>
              </w:rPr>
            </w:pPr>
            <w:r>
              <w:rPr>
                <w:rFonts w:hint="eastAsia" w:eastAsia="方正黑体_GBK" w:cs="方正黑体_GBK"/>
                <w:bCs/>
                <w:kern w:val="0"/>
                <w:sz w:val="24"/>
                <w:szCs w:val="24"/>
              </w:rPr>
              <w:t>检查得分</w:t>
            </w:r>
          </w:p>
        </w:tc>
        <w:tc>
          <w:tcPr>
            <w:tcW w:w="2694" w:type="dxa"/>
            <w:tcBorders>
              <w:top w:val="single" w:color="auto" w:sz="4" w:space="0"/>
              <w:left w:val="nil"/>
              <w:bottom w:val="single" w:color="auto" w:sz="4" w:space="0"/>
              <w:right w:val="single" w:color="auto" w:sz="4" w:space="0"/>
            </w:tcBorders>
            <w:vAlign w:val="center"/>
          </w:tcPr>
          <w:p>
            <w:pPr>
              <w:widowControl/>
              <w:jc w:val="center"/>
              <w:rPr>
                <w:rFonts w:eastAsia="方正黑体_GBK" w:cs="方正黑体_GBK"/>
                <w:bCs/>
                <w:kern w:val="0"/>
                <w:sz w:val="24"/>
                <w:szCs w:val="24"/>
              </w:rPr>
            </w:pPr>
            <w:r>
              <w:rPr>
                <w:rFonts w:hint="eastAsia" w:eastAsia="方正黑体_GBK" w:cs="方正黑体_GBK"/>
                <w:bCs/>
                <w:kern w:val="0"/>
                <w:sz w:val="24"/>
                <w:szCs w:val="24"/>
              </w:rPr>
              <w:t>检查记录</w:t>
            </w:r>
          </w:p>
        </w:tc>
      </w:tr>
      <w:tr>
        <w:tblPrEx>
          <w:tblLayout w:type="fixed"/>
          <w:tblCellMar>
            <w:top w:w="0" w:type="dxa"/>
            <w:left w:w="0" w:type="dxa"/>
            <w:bottom w:w="0" w:type="dxa"/>
            <w:right w:w="0" w:type="dxa"/>
          </w:tblCellMar>
        </w:tblPrEx>
        <w:trPr>
          <w:cantSplit/>
          <w:trHeight w:val="574" w:hRule="atLeast"/>
          <w:jc w:val="center"/>
        </w:trPr>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6.1</w:t>
            </w:r>
          </w:p>
        </w:tc>
        <w:tc>
          <w:tcPr>
            <w:tcW w:w="1418" w:type="dxa"/>
            <w:vMerge w:val="restart"/>
            <w:tcBorders>
              <w:top w:val="nil"/>
              <w:left w:val="single" w:color="auto" w:sz="4" w:space="0"/>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产品检验合格报告</w:t>
            </w:r>
          </w:p>
        </w:tc>
        <w:tc>
          <w:tcPr>
            <w:tcW w:w="3969" w:type="dxa"/>
            <w:vMerge w:val="restart"/>
            <w:tcBorders>
              <w:top w:val="nil"/>
              <w:left w:val="single" w:color="auto" w:sz="4" w:space="0"/>
              <w:bottom w:val="single" w:color="auto" w:sz="4" w:space="0"/>
              <w:right w:val="single" w:color="auto" w:sz="4" w:space="0"/>
            </w:tcBorders>
            <w:vAlign w:val="center"/>
          </w:tcPr>
          <w:p>
            <w:pPr>
              <w:widowControl/>
              <w:rPr>
                <w:rFonts w:cs="方正仿宋_GBK"/>
                <w:spacing w:val="4"/>
                <w:kern w:val="0"/>
                <w:sz w:val="24"/>
                <w:szCs w:val="24"/>
              </w:rPr>
            </w:pPr>
            <w:r>
              <w:rPr>
                <w:rFonts w:hint="eastAsia" w:cs="方正仿宋_GBK"/>
                <w:spacing w:val="4"/>
                <w:kern w:val="0"/>
                <w:sz w:val="24"/>
                <w:szCs w:val="24"/>
              </w:rPr>
              <w:t>应</w:t>
            </w:r>
            <w:r>
              <w:rPr>
                <w:rFonts w:hint="eastAsia" w:cs="方正仿宋_GBK"/>
                <w:spacing w:val="4"/>
                <w:sz w:val="24"/>
                <w:szCs w:val="24"/>
              </w:rPr>
              <w:t>当</w:t>
            </w:r>
            <w:r>
              <w:rPr>
                <w:rFonts w:hint="eastAsia" w:cs="方正仿宋_GBK"/>
                <w:spacing w:val="4"/>
                <w:kern w:val="0"/>
                <w:sz w:val="24"/>
                <w:szCs w:val="24"/>
              </w:rPr>
              <w:t>提交符合审查细则有关要求的</w:t>
            </w:r>
          </w:p>
          <w:p>
            <w:pPr>
              <w:widowControl/>
              <w:rPr>
                <w:rFonts w:cs="方正仿宋_GBK"/>
                <w:kern w:val="0"/>
                <w:sz w:val="24"/>
                <w:szCs w:val="24"/>
              </w:rPr>
            </w:pPr>
            <w:r>
              <w:rPr>
                <w:rFonts w:hint="eastAsia" w:cs="方正仿宋_GBK"/>
                <w:kern w:val="0"/>
                <w:sz w:val="24"/>
                <w:szCs w:val="24"/>
              </w:rPr>
              <w:t>产品检验合格报告。</w:t>
            </w:r>
          </w:p>
        </w:tc>
        <w:tc>
          <w:tcPr>
            <w:tcW w:w="2976" w:type="dxa"/>
            <w:tcBorders>
              <w:top w:val="nil"/>
              <w:left w:val="nil"/>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符合规定要求。</w:t>
            </w:r>
          </w:p>
        </w:tc>
        <w:tc>
          <w:tcPr>
            <w:tcW w:w="426" w:type="dxa"/>
            <w:tcBorders>
              <w:top w:val="nil"/>
              <w:left w:val="nil"/>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1</w:t>
            </w:r>
          </w:p>
        </w:tc>
        <w:tc>
          <w:tcPr>
            <w:tcW w:w="1275" w:type="dxa"/>
            <w:vMerge w:val="restart"/>
            <w:tcBorders>
              <w:top w:val="nil"/>
              <w:left w:val="single" w:color="auto" w:sz="4" w:space="0"/>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　</w:t>
            </w:r>
          </w:p>
        </w:tc>
        <w:tc>
          <w:tcPr>
            <w:tcW w:w="2694" w:type="dxa"/>
            <w:vMerge w:val="restart"/>
            <w:tcBorders>
              <w:top w:val="nil"/>
              <w:left w:val="single" w:color="auto" w:sz="4" w:space="0"/>
              <w:bottom w:val="single" w:color="auto" w:sz="4" w:space="0"/>
              <w:right w:val="single" w:color="auto" w:sz="4" w:space="0"/>
            </w:tcBorders>
            <w:vAlign w:val="center"/>
          </w:tcPr>
          <w:p>
            <w:pPr>
              <w:widowControl/>
              <w:rPr>
                <w:rFonts w:cs="方正仿宋_GBK"/>
                <w:kern w:val="0"/>
                <w:sz w:val="24"/>
                <w:szCs w:val="24"/>
              </w:rPr>
            </w:pPr>
          </w:p>
        </w:tc>
      </w:tr>
      <w:tr>
        <w:tblPrEx>
          <w:tblLayout w:type="fixed"/>
          <w:tblCellMar>
            <w:top w:w="0" w:type="dxa"/>
            <w:left w:w="0" w:type="dxa"/>
            <w:bottom w:w="0" w:type="dxa"/>
            <w:right w:w="0" w:type="dxa"/>
          </w:tblCellMar>
        </w:tblPrEx>
        <w:trPr>
          <w:cantSplit/>
          <w:trHeight w:val="836"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3969"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976" w:type="dxa"/>
            <w:tcBorders>
              <w:top w:val="nil"/>
              <w:left w:val="nil"/>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非食品安全标准规定的检验项目不全。</w:t>
            </w:r>
          </w:p>
        </w:tc>
        <w:tc>
          <w:tcPr>
            <w:tcW w:w="426" w:type="dxa"/>
            <w:tcBorders>
              <w:top w:val="nil"/>
              <w:left w:val="nil"/>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0.5</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694"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r>
      <w:tr>
        <w:tblPrEx>
          <w:tblLayout w:type="fixed"/>
          <w:tblCellMar>
            <w:top w:w="0" w:type="dxa"/>
            <w:left w:w="0" w:type="dxa"/>
            <w:bottom w:w="0" w:type="dxa"/>
            <w:right w:w="0" w:type="dxa"/>
          </w:tblCellMar>
        </w:tblPrEx>
        <w:trPr>
          <w:cantSplit/>
          <w:trHeight w:val="1118"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3969"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976" w:type="dxa"/>
            <w:tcBorders>
              <w:top w:val="nil"/>
              <w:left w:val="nil"/>
              <w:bottom w:val="single" w:color="auto" w:sz="4" w:space="0"/>
              <w:right w:val="single" w:color="auto" w:sz="4" w:space="0"/>
            </w:tcBorders>
            <w:vAlign w:val="center"/>
          </w:tcPr>
          <w:p>
            <w:pPr>
              <w:widowControl/>
              <w:rPr>
                <w:rFonts w:cs="方正仿宋_GBK"/>
                <w:kern w:val="0"/>
                <w:sz w:val="24"/>
                <w:szCs w:val="24"/>
              </w:rPr>
            </w:pPr>
            <w:r>
              <w:rPr>
                <w:rFonts w:hint="eastAsia" w:cs="方正仿宋_GBK"/>
                <w:kern w:val="0"/>
                <w:sz w:val="24"/>
                <w:szCs w:val="24"/>
              </w:rPr>
              <w:t>无检验合格报告，或者食品安全标准规定的检验项目不全。</w:t>
            </w:r>
          </w:p>
        </w:tc>
        <w:tc>
          <w:tcPr>
            <w:tcW w:w="426" w:type="dxa"/>
            <w:tcBorders>
              <w:top w:val="nil"/>
              <w:left w:val="nil"/>
              <w:bottom w:val="single" w:color="auto" w:sz="4" w:space="0"/>
              <w:right w:val="single" w:color="auto" w:sz="4" w:space="0"/>
            </w:tcBorders>
            <w:vAlign w:val="center"/>
          </w:tcPr>
          <w:p>
            <w:pPr>
              <w:widowControl/>
              <w:jc w:val="center"/>
              <w:rPr>
                <w:rFonts w:cs="方正仿宋_GBK"/>
                <w:kern w:val="0"/>
                <w:sz w:val="24"/>
                <w:szCs w:val="24"/>
              </w:rPr>
            </w:pPr>
            <w:r>
              <w:rPr>
                <w:rFonts w:hint="eastAsia" w:cs="方正仿宋_GBK"/>
                <w:kern w:val="0"/>
                <w:sz w:val="24"/>
                <w:szCs w:val="24"/>
              </w:rPr>
              <w:t>0</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c>
          <w:tcPr>
            <w:tcW w:w="2694" w:type="dxa"/>
            <w:vMerge w:val="continue"/>
            <w:tcBorders>
              <w:top w:val="nil"/>
              <w:left w:val="single" w:color="auto" w:sz="4" w:space="0"/>
              <w:bottom w:val="single" w:color="auto" w:sz="4" w:space="0"/>
              <w:right w:val="single" w:color="auto" w:sz="4" w:space="0"/>
            </w:tcBorders>
            <w:vAlign w:val="center"/>
          </w:tcPr>
          <w:p>
            <w:pPr>
              <w:widowControl/>
              <w:jc w:val="left"/>
              <w:rPr>
                <w:rFonts w:cs="方正仿宋_GBK"/>
                <w:kern w:val="0"/>
                <w:sz w:val="24"/>
                <w:szCs w:val="24"/>
              </w:rPr>
            </w:pPr>
          </w:p>
        </w:tc>
      </w:tr>
    </w:tbl>
    <w:p>
      <w:pPr>
        <w:spacing w:line="600" w:lineRule="exact"/>
        <w:outlineLvl w:val="0"/>
      </w:pPr>
    </w:p>
    <w:p/>
    <w:p>
      <w:pPr>
        <w:ind w:firstLine="632" w:firstLineChars="200"/>
        <w:rPr>
          <w:rFonts w:cs="宋体"/>
          <w:kern w:val="0"/>
          <w:szCs w:val="32"/>
        </w:rPr>
        <w:sectPr>
          <w:pgSz w:w="16838" w:h="11906" w:orient="landscape"/>
          <w:pgMar w:top="1531" w:right="2098" w:bottom="1531" w:left="1984" w:header="850" w:footer="1474" w:gutter="0"/>
          <w:cols w:space="0" w:num="1"/>
          <w:docGrid w:type="linesAndChars" w:linePitch="589" w:charSpace="-849"/>
        </w:sectPr>
      </w:pPr>
    </w:p>
    <w:p>
      <w:pPr>
        <w:ind w:firstLine="632" w:firstLineChars="200"/>
        <w:rPr>
          <w:rFonts w:cs="宋体"/>
          <w:kern w:val="0"/>
          <w:szCs w:val="32"/>
        </w:rPr>
      </w:pPr>
    </w:p>
    <w:p/>
    <w:p/>
    <w:p/>
    <w:p/>
    <w:p/>
    <w:p/>
    <w:p/>
    <w:p/>
    <w:p/>
    <w:p/>
    <w:p/>
    <w:p/>
    <w:p/>
    <w:p/>
    <w:p/>
    <w:p/>
    <w:p/>
    <w:p/>
    <w:p/>
    <w:p>
      <w:pPr>
        <w:spacing w:line="300" w:lineRule="exact"/>
        <w:ind w:firstLine="276" w:firstLineChars="100"/>
        <w:rPr>
          <w:sz w:val="28"/>
          <w:szCs w:val="28"/>
        </w:rPr>
      </w:pPr>
    </w:p>
    <w:p>
      <w:pPr>
        <w:spacing w:line="570" w:lineRule="exact"/>
        <w:ind w:right="24" w:firstLine="276" w:firstLineChars="100"/>
        <w:rPr>
          <w:sz w:val="28"/>
          <w:szCs w:val="28"/>
        </w:rPr>
      </w:pPr>
      <w:r>
        <w:rPr>
          <w:sz w:val="28"/>
          <w:szCs w:val="28"/>
        </w:rPr>
        <mc:AlternateContent>
          <mc:Choice Requires="wps">
            <w:drawing>
              <wp:anchor distT="0" distB="0" distL="114300" distR="114300" simplePos="0" relativeHeight="251688960" behindDoc="0" locked="0" layoutInCell="1" allowOverlap="1">
                <wp:simplePos x="0" y="0"/>
                <wp:positionH relativeFrom="margin">
                  <wp:posOffset>0</wp:posOffset>
                </wp:positionH>
                <wp:positionV relativeFrom="page">
                  <wp:posOffset>9050020</wp:posOffset>
                </wp:positionV>
                <wp:extent cx="5600700" cy="0"/>
                <wp:effectExtent l="0" t="0" r="0" b="0"/>
                <wp:wrapNone/>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8" o:spid="_x0000_s1026" o:spt="20" style="position:absolute;left:0pt;margin-left:0pt;margin-top:712.6pt;height:0pt;width:441pt;mso-position-horizontal-relative:margin;mso-position-vertical-relative:page;z-index:251688960;mso-width-relative:page;mso-height-relative:page;" filled="f" stroked="t" coordsize="21600,21600" o:gfxdata="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nkzeG1gAAAAoBAAAPAAAAAAAAAAEAIAAAACIAAABkcnMvZG93bnJldi54&#10;bWxQSwECFAAUAAAACACHTuJAxI6eXcMBAACDAwAADgAAAAAAAAABACAAAAAlAQAAZHJzL2Uyb0Rv&#10;Yy54bWxQSwUGAAAAAAYABgBZAQAAWgUAAAAA&#10;">
                <v:fill on="f" focussize="0,0"/>
                <v:stroke weight="1pt"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87936"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9" o:spid="_x0000_s1026" o:spt="20" style="position:absolute;left:0pt;margin-left:0.1pt;margin-top:741pt;height:0pt;width:442.2pt;mso-position-horizontal-relative:margin;mso-position-vertical-relative:page;mso-wrap-distance-bottom:0pt;mso-wrap-distance-top:0pt;z-index:251687936;mso-width-relative:page;mso-height-relative:page;" filled="f" stroked="t" coordsize="21600,21600" o:gfxdata="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QSlLzWAAAACgEAAA8AAAAAAAAAAQAgAAAAIgAAAGRycy9kb3ducmV2&#10;LnhtbFBLAQIUABQAAAAIAIdO4kCywIA3xQEAAIMDAAAOAAAAAAAAAAEAIAAAACUBAABkcnMvZTJv&#10;RG9jLnhtbFBLBQYAAAAABgAGAFkBAABcBQAAAAA=&#10;">
                <v:fill on="f" focussize="0,0"/>
                <v:stroke weight="1pt" color="#000000" joinstyle="round"/>
                <v:imagedata o:title=""/>
                <o:lock v:ext="edit" aspectratio="f"/>
                <w10:wrap type="topAndBottom"/>
              </v:line>
            </w:pict>
          </mc:Fallback>
        </mc:AlternateContent>
      </w:r>
      <w:r>
        <w:rPr>
          <w:sz w:val="28"/>
          <w:szCs w:val="28"/>
        </w:rPr>
        <w:t>重庆市</w:t>
      </w:r>
      <w:r>
        <w:rPr>
          <w:rFonts w:hint="eastAsia"/>
          <w:sz w:val="28"/>
          <w:szCs w:val="28"/>
        </w:rPr>
        <w:t>市场监督管理</w:t>
      </w:r>
      <w:r>
        <w:rPr>
          <w:sz w:val="28"/>
          <w:szCs w:val="28"/>
        </w:rPr>
        <w:t xml:space="preserve">局办公室       </w:t>
      </w:r>
      <w:r>
        <w:rPr>
          <w:rFonts w:hint="eastAsia"/>
          <w:sz w:val="28"/>
          <w:szCs w:val="28"/>
        </w:rPr>
        <w:t xml:space="preserve">  </w:t>
      </w:r>
      <w:r>
        <w:rPr>
          <w:sz w:val="28"/>
          <w:szCs w:val="28"/>
        </w:rPr>
        <w:t xml:space="preserve">     </w:t>
      </w:r>
      <w:r>
        <w:rPr>
          <w:rFonts w:hint="eastAsia"/>
          <w:sz w:val="28"/>
          <w:szCs w:val="28"/>
        </w:rPr>
        <w:t>　2020年3月5日</w:t>
      </w:r>
      <w:r>
        <w:rPr>
          <w:sz w:val="28"/>
          <w:szCs w:val="28"/>
        </w:rPr>
        <w:t>印发</w:t>
      </w:r>
    </w:p>
    <w:sectPr>
      <w:pgSz w:w="11906" w:h="16838"/>
      <w:pgMar w:top="2098" w:right="1531" w:bottom="1984" w:left="1531" w:header="850" w:footer="1474" w:gutter="0"/>
      <w:cols w:space="0" w:num="1"/>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altName w:val="方正超粗黑_GBK"/>
    <w:panose1 w:val="00000000000000000000"/>
    <w:charset w:val="86"/>
    <w:family w:val="script"/>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超粗黑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19</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19</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trackRevisions w:val="1"/>
  <w:documentProtection w:enforcement="0"/>
  <w:defaultTabStop w:val="425"/>
  <w:doNotHyphenateCaps/>
  <w:drawingGridHorizontalSpacing w:val="158"/>
  <w:drawingGridVerticalSpacing w:val="295"/>
  <w:displayHorizontalDrawingGridEvery w:val="2"/>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1F1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4E2C"/>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3C1F"/>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2C9C"/>
    <w:rsid w:val="00523D39"/>
    <w:rsid w:val="00525073"/>
    <w:rsid w:val="0052522F"/>
    <w:rsid w:val="00526832"/>
    <w:rsid w:val="00527BE2"/>
    <w:rsid w:val="00527C67"/>
    <w:rsid w:val="0053488A"/>
    <w:rsid w:val="00534AB0"/>
    <w:rsid w:val="00534BE8"/>
    <w:rsid w:val="005355AE"/>
    <w:rsid w:val="00541744"/>
    <w:rsid w:val="00544048"/>
    <w:rsid w:val="0054409A"/>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1FD"/>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2C0"/>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6DB"/>
    <w:rsid w:val="008C48DA"/>
    <w:rsid w:val="008C5684"/>
    <w:rsid w:val="008C654B"/>
    <w:rsid w:val="008C6BCA"/>
    <w:rsid w:val="008C6E8B"/>
    <w:rsid w:val="008C7550"/>
    <w:rsid w:val="008C7983"/>
    <w:rsid w:val="008C7EB9"/>
    <w:rsid w:val="008C7EC8"/>
    <w:rsid w:val="008D0FFD"/>
    <w:rsid w:val="008D19C7"/>
    <w:rsid w:val="008D1FF5"/>
    <w:rsid w:val="008D36F6"/>
    <w:rsid w:val="008D5971"/>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6AC9"/>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8D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07E"/>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259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E6173"/>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855"/>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A2C"/>
    <w:rsid w:val="00FD5F7F"/>
    <w:rsid w:val="00FD67EC"/>
    <w:rsid w:val="00FE0C99"/>
    <w:rsid w:val="00FE0FC6"/>
    <w:rsid w:val="00FE5C93"/>
    <w:rsid w:val="00FE5EF8"/>
    <w:rsid w:val="00FF4347"/>
    <w:rsid w:val="00FF43E0"/>
    <w:rsid w:val="00FF464C"/>
    <w:rsid w:val="00FF4C39"/>
    <w:rsid w:val="09C90786"/>
    <w:rsid w:val="0BA11D2C"/>
    <w:rsid w:val="12504162"/>
    <w:rsid w:val="20264985"/>
    <w:rsid w:val="235B1C57"/>
    <w:rsid w:val="27666CB1"/>
    <w:rsid w:val="27854499"/>
    <w:rsid w:val="2BC7419B"/>
    <w:rsid w:val="314F34B6"/>
    <w:rsid w:val="320E1020"/>
    <w:rsid w:val="34DC344C"/>
    <w:rsid w:val="3D0D5C68"/>
    <w:rsid w:val="3E350F4E"/>
    <w:rsid w:val="43CA1391"/>
    <w:rsid w:val="4B161173"/>
    <w:rsid w:val="4E7F06B4"/>
    <w:rsid w:val="50407AE2"/>
    <w:rsid w:val="52BE2942"/>
    <w:rsid w:val="53087649"/>
    <w:rsid w:val="61C112D7"/>
    <w:rsid w:val="7C003CA8"/>
    <w:rsid w:val="7E7535BB"/>
    <w:rsid w:val="7FD9136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qFormat/>
    <w:uiPriority w:val="0"/>
    <w:rPr>
      <w:rFonts w:ascii="仿宋_GB2312" w:eastAsia="仿宋_GB231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rPr>
      <w:rFonts w:cs="Times New Roman"/>
    </w:rPr>
  </w:style>
  <w:style w:type="paragraph" w:customStyle="1" w:styleId="10">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1431</Words>
  <Characters>8158</Characters>
  <Lines>67</Lines>
  <Paragraphs>19</Paragraphs>
  <ScaleCrop>false</ScaleCrop>
  <LinksUpToDate>false</LinksUpToDate>
  <CharactersWithSpaces>9570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2019-02-11T07:10:00Z</dcterms:created>
  <dc:creator>Lenovo User</dc:creator>
  <cp:lastModifiedBy>文印室</cp:lastModifiedBy>
  <cp:lastPrinted>2019-08-28T02:07:00Z</cp:lastPrinted>
  <dcterms:modified xsi:type="dcterms:W3CDTF">2020-03-09T06:17:13Z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