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重庆市</w:t>
      </w:r>
      <w:r>
        <w:rPr>
          <w:rFonts w:ascii="方正小标宋简体" w:hAnsi="仿宋" w:eastAsia="方正小标宋简体" w:cs="方正仿宋简体"/>
          <w:color w:val="000000"/>
          <w:sz w:val="32"/>
          <w:szCs w:val="32"/>
        </w:rPr>
        <w:t>汽车内饰材料</w:t>
      </w:r>
      <w:r>
        <w:rPr>
          <w:rFonts w:hint="eastAsia" w:ascii="方正小标宋简体" w:hAnsi="仿宋" w:eastAsia="方正小标宋简体" w:cs="方正仿宋简体"/>
          <w:color w:val="000000"/>
          <w:sz w:val="32"/>
          <w:szCs w:val="32"/>
        </w:rPr>
        <w:t>产品质量监督抽查实施细则（2021年</w:t>
      </w:r>
      <w:r>
        <w:rPr>
          <w:rFonts w:hint="eastAsia" w:ascii="方正小标宋简体" w:hAnsi="仿宋" w:eastAsia="方正小标宋简体" w:cs="方正仿宋简体"/>
          <w:color w:val="000000"/>
          <w:sz w:val="32"/>
          <w:szCs w:val="32"/>
          <w:lang w:eastAsia="zh-CN"/>
        </w:rPr>
        <w:t>四季度</w:t>
      </w:r>
      <w:bookmarkStart w:id="0" w:name="_GoBack"/>
      <w:bookmarkEnd w:id="0"/>
      <w:r>
        <w:rPr>
          <w:rFonts w:hint="eastAsia" w:ascii="方正小标宋简体" w:hAnsi="仿宋" w:eastAsia="方正小标宋简体" w:cs="方正仿宋简体"/>
          <w:color w:val="000000"/>
          <w:sz w:val="32"/>
          <w:szCs w:val="32"/>
        </w:rPr>
        <w:t>）</w:t>
      </w:r>
    </w:p>
    <w:p>
      <w:pPr>
        <w:snapToGrid w:val="0"/>
        <w:spacing w:line="440" w:lineRule="exact"/>
        <w:ind w:firstLine="359" w:firstLineChars="171"/>
        <w:rPr>
          <w:rFonts w:ascii="宋体" w:hAnsi="宋体"/>
          <w:color w:val="000000"/>
          <w:szCs w:val="21"/>
        </w:rPr>
      </w:pPr>
    </w:p>
    <w:p>
      <w:pPr>
        <w:snapToGrid w:val="0"/>
        <w:spacing w:line="440" w:lineRule="exact"/>
        <w:rPr>
          <w:rFonts w:ascii="黑体" w:hAnsi="宋体" w:eastAsia="黑体"/>
          <w:color w:val="000000"/>
          <w:szCs w:val="21"/>
        </w:rPr>
      </w:pPr>
      <w:r>
        <w:rPr>
          <w:rFonts w:hint="eastAsia" w:ascii="黑体" w:hAnsi="宋体" w:eastAsia="黑体"/>
          <w:color w:val="000000"/>
          <w:szCs w:val="21"/>
        </w:rPr>
        <w:t>1 抽样方法</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在生产者、销售者的待销产品中随机抽取有产品质量检验合格证明或者以其他形式表明合格的、近期生产的产品。</w:t>
      </w:r>
    </w:p>
    <w:p>
      <w:pPr>
        <w:snapToGrid w:val="0"/>
        <w:spacing w:line="440" w:lineRule="exact"/>
        <w:ind w:firstLine="420" w:firstLineChars="200"/>
        <w:rPr>
          <w:rFonts w:ascii="宋体" w:hAnsi="宋体"/>
          <w:color w:val="000000"/>
          <w:szCs w:val="21"/>
        </w:rPr>
      </w:pPr>
      <w:r>
        <w:rPr>
          <w:rFonts w:hint="eastAsia" w:ascii="宋体" w:hAnsi="宋体"/>
          <w:szCs w:val="21"/>
        </w:rPr>
        <w:t>抽取同一生产者按照同一标准生产的同一商标、同一规格型号的产品，</w:t>
      </w:r>
      <w:r>
        <w:rPr>
          <w:rFonts w:hint="eastAsia" w:ascii="宋体" w:hAnsi="宋体"/>
          <w:color w:val="000000"/>
          <w:szCs w:val="21"/>
        </w:rPr>
        <w:t>抽查样品基数满足抽样数量即可。</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每批次产品抽取样品10块，一</w:t>
      </w:r>
      <w:r>
        <w:rPr>
          <w:rFonts w:ascii="宋体" w:hAnsi="宋体"/>
          <w:color w:val="000000"/>
          <w:szCs w:val="21"/>
        </w:rPr>
        <w:t>般要求每块样品的尺寸为356mm×100mm。其中5块作为检验样品，5块作为备用样品。</w:t>
      </w:r>
      <w:r>
        <w:rPr>
          <w:rFonts w:hint="eastAsia" w:ascii="宋体" w:hAnsi="宋体"/>
          <w:szCs w:val="21"/>
        </w:rPr>
        <w:t>备用样品留存于承检机构。</w:t>
      </w:r>
      <w:r>
        <w:rPr>
          <w:rFonts w:hint="eastAsia" w:ascii="宋体" w:hAnsi="宋体"/>
          <w:color w:val="000000"/>
          <w:szCs w:val="21"/>
        </w:rPr>
        <w:t>随机数一般可使用随机数表、随机数骰子或扑克牌等方法产生。</w:t>
      </w:r>
    </w:p>
    <w:p>
      <w:pPr>
        <w:snapToGrid w:val="0"/>
        <w:spacing w:line="440" w:lineRule="exact"/>
        <w:ind w:firstLine="420" w:firstLineChars="200"/>
        <w:rPr>
          <w:rFonts w:ascii="宋体" w:hAnsi="宋体"/>
          <w:color w:val="000000"/>
          <w:szCs w:val="21"/>
        </w:rPr>
      </w:pPr>
    </w:p>
    <w:p>
      <w:pPr>
        <w:snapToGrid w:val="0"/>
        <w:spacing w:line="440" w:lineRule="exact"/>
        <w:rPr>
          <w:rFonts w:ascii="黑体" w:hAnsi="宋体" w:eastAsia="黑体"/>
          <w:color w:val="000000"/>
          <w:szCs w:val="21"/>
        </w:rPr>
      </w:pPr>
      <w:r>
        <w:rPr>
          <w:rFonts w:hint="eastAsia" w:ascii="黑体" w:hAnsi="宋体" w:eastAsia="黑体"/>
          <w:color w:val="000000"/>
          <w:szCs w:val="21"/>
        </w:rPr>
        <w:t>2 检验依据</w:t>
      </w:r>
    </w:p>
    <w:p>
      <w:pPr>
        <w:snapToGrid w:val="0"/>
        <w:spacing w:line="440" w:lineRule="exact"/>
        <w:jc w:val="center"/>
        <w:rPr>
          <w:rFonts w:ascii="宋体" w:hAnsi="宋体"/>
          <w:color w:val="000000"/>
          <w:szCs w:val="21"/>
        </w:rPr>
      </w:pPr>
      <w:r>
        <w:rPr>
          <w:rFonts w:hint="eastAsia" w:ascii="宋体" w:hAnsi="宋体"/>
          <w:color w:val="000000"/>
          <w:szCs w:val="21"/>
        </w:rPr>
        <w:t>表1 检验项目</w:t>
      </w:r>
    </w:p>
    <w:tbl>
      <w:tblPr>
        <w:tblStyle w:val="7"/>
        <w:tblW w:w="9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3"/>
        <w:gridCol w:w="2697"/>
        <w:gridCol w:w="3110"/>
        <w:gridCol w:w="25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1" w:hRule="atLeast"/>
        </w:trPr>
        <w:tc>
          <w:tcPr>
            <w:tcW w:w="813" w:type="dxa"/>
          </w:tcPr>
          <w:p>
            <w:pPr>
              <w:snapToGrid w:val="0"/>
              <w:spacing w:line="440" w:lineRule="exact"/>
              <w:jc w:val="center"/>
              <w:rPr>
                <w:rFonts w:ascii="宋体" w:hAnsi="宋体"/>
                <w:color w:val="000000"/>
                <w:szCs w:val="21"/>
              </w:rPr>
            </w:pPr>
            <w:r>
              <w:rPr>
                <w:rFonts w:hint="eastAsia" w:ascii="宋体" w:hAnsi="宋体"/>
                <w:color w:val="000000"/>
                <w:szCs w:val="21"/>
              </w:rPr>
              <w:t>序号</w:t>
            </w:r>
          </w:p>
        </w:tc>
        <w:tc>
          <w:tcPr>
            <w:tcW w:w="2697" w:type="dxa"/>
          </w:tcPr>
          <w:p>
            <w:pPr>
              <w:snapToGrid w:val="0"/>
              <w:spacing w:line="440" w:lineRule="exact"/>
              <w:jc w:val="center"/>
              <w:rPr>
                <w:rFonts w:ascii="宋体" w:hAnsi="宋体"/>
                <w:color w:val="000000"/>
                <w:szCs w:val="21"/>
              </w:rPr>
            </w:pPr>
            <w:r>
              <w:rPr>
                <w:rFonts w:hint="eastAsia" w:ascii="宋体" w:hAnsi="宋体"/>
                <w:color w:val="000000"/>
                <w:szCs w:val="21"/>
              </w:rPr>
              <w:t>检验项目</w:t>
            </w:r>
          </w:p>
        </w:tc>
        <w:tc>
          <w:tcPr>
            <w:tcW w:w="3110" w:type="dxa"/>
          </w:tcPr>
          <w:p>
            <w:pPr>
              <w:snapToGrid w:val="0"/>
              <w:spacing w:line="440" w:lineRule="exact"/>
              <w:jc w:val="center"/>
              <w:rPr>
                <w:rFonts w:ascii="宋体" w:hAnsi="宋体"/>
                <w:color w:val="000000"/>
                <w:szCs w:val="21"/>
              </w:rPr>
            </w:pPr>
            <w:r>
              <w:rPr>
                <w:rFonts w:hint="eastAsia" w:ascii="宋体" w:hAnsi="宋体"/>
                <w:color w:val="000000"/>
                <w:szCs w:val="21"/>
              </w:rPr>
              <w:t>判定依据</w:t>
            </w:r>
          </w:p>
        </w:tc>
        <w:tc>
          <w:tcPr>
            <w:tcW w:w="2554" w:type="dxa"/>
          </w:tcPr>
          <w:p>
            <w:pPr>
              <w:snapToGrid w:val="0"/>
              <w:spacing w:line="440" w:lineRule="exact"/>
              <w:jc w:val="center"/>
              <w:rPr>
                <w:rFonts w:ascii="宋体" w:hAnsi="宋体"/>
                <w:color w:val="000000"/>
                <w:szCs w:val="21"/>
              </w:rPr>
            </w:pPr>
            <w:r>
              <w:rPr>
                <w:rFonts w:hint="eastAsia" w:ascii="宋体" w:hAnsi="宋体"/>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3" w:type="dxa"/>
          </w:tcPr>
          <w:p>
            <w:pPr>
              <w:snapToGrid w:val="0"/>
              <w:spacing w:line="440" w:lineRule="exact"/>
              <w:jc w:val="center"/>
              <w:rPr>
                <w:rFonts w:ascii="宋体" w:hAnsi="宋体"/>
                <w:color w:val="000000"/>
                <w:szCs w:val="21"/>
              </w:rPr>
            </w:pPr>
            <w:r>
              <w:rPr>
                <w:rFonts w:hint="eastAsia" w:ascii="宋体" w:hAnsi="宋体"/>
                <w:color w:val="000000"/>
                <w:szCs w:val="21"/>
              </w:rPr>
              <w:t>1</w:t>
            </w:r>
          </w:p>
        </w:tc>
        <w:tc>
          <w:tcPr>
            <w:tcW w:w="2697" w:type="dxa"/>
            <w:vAlign w:val="center"/>
          </w:tcPr>
          <w:p>
            <w:pPr>
              <w:snapToGrid w:val="0"/>
              <w:spacing w:line="440" w:lineRule="exact"/>
              <w:jc w:val="center"/>
              <w:rPr>
                <w:rFonts w:ascii="宋体" w:hAnsi="宋体"/>
                <w:color w:val="000000"/>
                <w:szCs w:val="21"/>
              </w:rPr>
            </w:pPr>
            <w:r>
              <w:rPr>
                <w:rFonts w:ascii="宋体" w:hAnsi="宋体"/>
                <w:color w:val="000000"/>
                <w:szCs w:val="21"/>
              </w:rPr>
              <w:t>燃烧特性</w:t>
            </w:r>
          </w:p>
        </w:tc>
        <w:tc>
          <w:tcPr>
            <w:tcW w:w="3110" w:type="dxa"/>
            <w:vAlign w:val="center"/>
          </w:tcPr>
          <w:p>
            <w:pPr>
              <w:spacing w:line="400" w:lineRule="exact"/>
              <w:jc w:val="center"/>
              <w:rPr>
                <w:rFonts w:ascii="宋体" w:hAnsi="宋体"/>
                <w:szCs w:val="21"/>
              </w:rPr>
            </w:pPr>
            <w:r>
              <w:rPr>
                <w:rFonts w:hint="eastAsia" w:ascii="宋体" w:hAnsi="宋体" w:cs="仿宋_GB2312"/>
                <w:szCs w:val="21"/>
              </w:rPr>
              <w:t>GB 8410-2006</w:t>
            </w:r>
          </w:p>
        </w:tc>
        <w:tc>
          <w:tcPr>
            <w:tcW w:w="2554" w:type="dxa"/>
            <w:vAlign w:val="center"/>
          </w:tcPr>
          <w:p>
            <w:pPr>
              <w:jc w:val="center"/>
              <w:rPr>
                <w:rFonts w:ascii="宋体" w:hAnsi="宋体" w:cs="仿宋_GB2312"/>
                <w:szCs w:val="21"/>
              </w:rPr>
            </w:pPr>
            <w:r>
              <w:rPr>
                <w:rFonts w:hint="eastAsia" w:ascii="宋体" w:hAnsi="宋体" w:cs="仿宋_GB2312"/>
                <w:szCs w:val="21"/>
              </w:rPr>
              <w:t>GB 8410-2006</w:t>
            </w:r>
          </w:p>
        </w:tc>
      </w:tr>
    </w:tbl>
    <w:p>
      <w:pPr>
        <w:snapToGrid w:val="0"/>
        <w:spacing w:line="440" w:lineRule="exact"/>
        <w:ind w:firstLine="420" w:firstLineChars="200"/>
        <w:rPr>
          <w:rFonts w:ascii="宋体" w:hAnsi="宋体"/>
          <w:color w:val="000000"/>
          <w:szCs w:val="21"/>
        </w:rPr>
      </w:pPr>
      <w:r>
        <w:rPr>
          <w:rFonts w:hint="eastAsia" w:ascii="宋体" w:hAnsi="宋体"/>
          <w:color w:val="000000"/>
          <w:szCs w:val="21"/>
        </w:rPr>
        <w:t>凡是注日期的文件，其随后所有的修改单（不包括勘误的内容）或修订版不适用于本细则。</w:t>
      </w:r>
    </w:p>
    <w:p>
      <w:pPr>
        <w:spacing w:line="360" w:lineRule="auto"/>
        <w:rPr>
          <w:rFonts w:ascii="黑体" w:hAnsi="黑体" w:eastAsia="黑体"/>
          <w:color w:val="000000"/>
          <w:szCs w:val="21"/>
        </w:rPr>
      </w:pPr>
    </w:p>
    <w:p>
      <w:pPr>
        <w:spacing w:line="360" w:lineRule="auto"/>
        <w:rPr>
          <w:rFonts w:ascii="黑体" w:hAnsi="黑体" w:eastAsia="黑体"/>
          <w:color w:val="000000"/>
          <w:szCs w:val="21"/>
        </w:rPr>
      </w:pPr>
      <w:r>
        <w:rPr>
          <w:rFonts w:hint="eastAsia" w:ascii="黑体" w:hAnsi="黑体" w:eastAsia="黑体"/>
          <w:color w:val="000000"/>
          <w:szCs w:val="21"/>
        </w:rPr>
        <w:t>3 判定规则</w:t>
      </w:r>
    </w:p>
    <w:p>
      <w:pPr>
        <w:snapToGrid w:val="0"/>
        <w:spacing w:line="440" w:lineRule="exact"/>
        <w:rPr>
          <w:rFonts w:ascii="宋体" w:hAnsi="宋体"/>
          <w:color w:val="000000"/>
          <w:szCs w:val="21"/>
        </w:rPr>
      </w:pPr>
      <w:r>
        <w:rPr>
          <w:rFonts w:hint="eastAsia" w:ascii="宋体" w:hAnsi="宋体"/>
          <w:color w:val="000000"/>
          <w:szCs w:val="21"/>
        </w:rPr>
        <w:t>3.1依据标准</w:t>
      </w:r>
    </w:p>
    <w:p>
      <w:pPr>
        <w:snapToGrid w:val="0"/>
        <w:spacing w:line="440" w:lineRule="exact"/>
        <w:ind w:firstLine="420" w:firstLineChars="200"/>
        <w:rPr>
          <w:rFonts w:ascii="宋体" w:hAnsi="宋体" w:cs="仿宋_GB2312"/>
          <w:szCs w:val="21"/>
        </w:rPr>
      </w:pPr>
      <w:r>
        <w:rPr>
          <w:rFonts w:hint="eastAsia" w:ascii="宋体" w:hAnsi="宋体" w:cs="仿宋_GB2312"/>
          <w:szCs w:val="21"/>
        </w:rPr>
        <w:t>GB 8410-2006 汽车内饰材料的燃烧特性</w:t>
      </w:r>
    </w:p>
    <w:p>
      <w:pPr>
        <w:snapToGrid w:val="0"/>
        <w:spacing w:line="44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相关的法律、行政法规、部门规章、规范性文件</w:t>
      </w:r>
    </w:p>
    <w:p>
      <w:pPr>
        <w:snapToGrid w:val="0"/>
        <w:spacing w:line="440" w:lineRule="exact"/>
        <w:ind w:firstLine="462" w:firstLineChars="220"/>
        <w:rPr>
          <w:rFonts w:ascii="宋体" w:hAnsi="宋体"/>
          <w:color w:val="000000"/>
          <w:szCs w:val="21"/>
        </w:rPr>
      </w:pPr>
      <w:r>
        <w:rPr>
          <w:rFonts w:hint="eastAsia" w:ascii="宋体" w:hAnsi="宋体"/>
          <w:color w:val="000000"/>
          <w:szCs w:val="21"/>
        </w:rPr>
        <w:t>现行有效的企业标准、团体标准、地方标准及产品明示质量要求</w:t>
      </w:r>
    </w:p>
    <w:p>
      <w:pPr>
        <w:snapToGrid w:val="0"/>
        <w:spacing w:line="440" w:lineRule="exact"/>
        <w:rPr>
          <w:rFonts w:ascii="宋体" w:hAnsi="宋体"/>
          <w:color w:val="000000"/>
          <w:szCs w:val="21"/>
        </w:rPr>
      </w:pPr>
      <w:r>
        <w:rPr>
          <w:rFonts w:hint="eastAsia" w:ascii="宋体" w:hAnsi="宋体"/>
          <w:color w:val="000000"/>
          <w:szCs w:val="21"/>
        </w:rPr>
        <w:t>3.2判定原则</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经检验，检验项目全部合格，判定为被抽查产品合格；检验项目中任一项或一项以上不合格，判定为被抽查产品不合格。</w:t>
      </w:r>
    </w:p>
    <w:p>
      <w:pPr>
        <w:snapToGrid w:val="0"/>
        <w:spacing w:line="440" w:lineRule="exact"/>
        <w:ind w:firstLine="418" w:firstLineChars="199"/>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pPr>
        <w:snapToGrid w:val="0"/>
        <w:spacing w:line="440" w:lineRule="exact"/>
        <w:ind w:firstLine="418"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pPr>
        <w:snapToGrid w:val="0"/>
        <w:spacing w:line="440" w:lineRule="exact"/>
        <w:ind w:firstLine="418" w:firstLineChars="199"/>
        <w:rPr>
          <w:rFonts w:ascii="宋体" w:hAnsi="宋体"/>
          <w:color w:val="000000"/>
          <w:szCs w:val="21"/>
        </w:rPr>
      </w:pPr>
      <w:r>
        <w:rPr>
          <w:rFonts w:hint="eastAsia" w:ascii="宋体" w:hAnsi="宋体"/>
          <w:color w:val="000000"/>
          <w:szCs w:val="21"/>
        </w:rPr>
        <w:t>若被检产品明示的质量要求低于或包含细则中检验项目依据的推荐性标准要求时，应以被检产品明示的质量要求判定，但应在检验报告备注中进行说明。</w:t>
      </w:r>
    </w:p>
    <w:p>
      <w:pPr>
        <w:snapToGrid w:val="0"/>
        <w:spacing w:line="440" w:lineRule="exact"/>
        <w:ind w:firstLine="418"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pPr>
        <w:snapToGrid w:val="0"/>
        <w:spacing w:line="440" w:lineRule="exact"/>
        <w:ind w:firstLine="418" w:firstLineChars="199"/>
      </w:pPr>
      <w:r>
        <w:rPr>
          <w:rFonts w:hint="eastAsia" w:ascii="宋体" w:hAnsi="宋体"/>
          <w:color w:val="000000"/>
          <w:szCs w:val="21"/>
        </w:rPr>
        <w:t>若被检产品明示的质量要求缺少本细则中检验项目依据的推荐性标准要求时，该项目不参与判定，但应在检验报告备注中进行说明。</w:t>
      </w:r>
    </w:p>
    <w:sectPr>
      <w:headerReference r:id="rId3" w:type="default"/>
      <w:footerReference r:id="rId4" w:type="default"/>
      <w:footerReference r:id="rId5" w:type="even"/>
      <w:pgSz w:w="11907" w:h="16839"/>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altName w:val="黑体"/>
    <w:panose1 w:val="00000000000000000000"/>
    <w:charset w:val="86"/>
    <w:family w:val="auto"/>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6"/>
      </w:rPr>
    </w:pPr>
    <w:r>
      <w:fldChar w:fldCharType="begin"/>
    </w:r>
    <w:r>
      <w:rPr>
        <w:rStyle w:val="6"/>
      </w:rPr>
      <w:instrText xml:space="preserve">PAGE  </w:instrText>
    </w:r>
    <w:r>
      <w:fldChar w:fldCharType="separate"/>
    </w:r>
    <w:r>
      <w:rPr>
        <w:rStyle w:val="6"/>
      </w:rPr>
      <w:t>2</w:t>
    </w:r>
    <w:r>
      <w:fldChar w:fldCharType="end"/>
    </w:r>
  </w:p>
  <w:p>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E1C1B"/>
    <w:rsid w:val="00063F4C"/>
    <w:rsid w:val="00070677"/>
    <w:rsid w:val="0007289B"/>
    <w:rsid w:val="000938BE"/>
    <w:rsid w:val="000950DD"/>
    <w:rsid w:val="000A49E7"/>
    <w:rsid w:val="000E7B21"/>
    <w:rsid w:val="000F47BD"/>
    <w:rsid w:val="001115F1"/>
    <w:rsid w:val="00121A44"/>
    <w:rsid w:val="00126693"/>
    <w:rsid w:val="00176416"/>
    <w:rsid w:val="001E44BD"/>
    <w:rsid w:val="001F3FE8"/>
    <w:rsid w:val="00207F0B"/>
    <w:rsid w:val="002122B4"/>
    <w:rsid w:val="00240531"/>
    <w:rsid w:val="00245C71"/>
    <w:rsid w:val="00267D91"/>
    <w:rsid w:val="00272CA1"/>
    <w:rsid w:val="00277D59"/>
    <w:rsid w:val="00292F7F"/>
    <w:rsid w:val="002A7AFD"/>
    <w:rsid w:val="00311865"/>
    <w:rsid w:val="00326747"/>
    <w:rsid w:val="00360E00"/>
    <w:rsid w:val="003808FF"/>
    <w:rsid w:val="00414D47"/>
    <w:rsid w:val="004653AC"/>
    <w:rsid w:val="00473779"/>
    <w:rsid w:val="004A6761"/>
    <w:rsid w:val="004C13EF"/>
    <w:rsid w:val="004E1C1B"/>
    <w:rsid w:val="004F24A7"/>
    <w:rsid w:val="00513180"/>
    <w:rsid w:val="00525C57"/>
    <w:rsid w:val="00535267"/>
    <w:rsid w:val="00553171"/>
    <w:rsid w:val="00556685"/>
    <w:rsid w:val="00561840"/>
    <w:rsid w:val="005832E3"/>
    <w:rsid w:val="005B3386"/>
    <w:rsid w:val="005E72C2"/>
    <w:rsid w:val="00605616"/>
    <w:rsid w:val="00622E51"/>
    <w:rsid w:val="00623104"/>
    <w:rsid w:val="00681809"/>
    <w:rsid w:val="006E7112"/>
    <w:rsid w:val="00724404"/>
    <w:rsid w:val="007652FF"/>
    <w:rsid w:val="00774AE9"/>
    <w:rsid w:val="00813A0F"/>
    <w:rsid w:val="00814659"/>
    <w:rsid w:val="00834BAB"/>
    <w:rsid w:val="008468A1"/>
    <w:rsid w:val="0087459F"/>
    <w:rsid w:val="0089054E"/>
    <w:rsid w:val="008C4CED"/>
    <w:rsid w:val="008E46F3"/>
    <w:rsid w:val="008E6FAA"/>
    <w:rsid w:val="009045D9"/>
    <w:rsid w:val="00914F1C"/>
    <w:rsid w:val="00916257"/>
    <w:rsid w:val="009218FD"/>
    <w:rsid w:val="0097606A"/>
    <w:rsid w:val="00995C43"/>
    <w:rsid w:val="00996A63"/>
    <w:rsid w:val="009A7675"/>
    <w:rsid w:val="009B0746"/>
    <w:rsid w:val="009B208E"/>
    <w:rsid w:val="009E3FA0"/>
    <w:rsid w:val="00A02043"/>
    <w:rsid w:val="00A30649"/>
    <w:rsid w:val="00A536F0"/>
    <w:rsid w:val="00A67D77"/>
    <w:rsid w:val="00A871CD"/>
    <w:rsid w:val="00A957C3"/>
    <w:rsid w:val="00AA184B"/>
    <w:rsid w:val="00AF5446"/>
    <w:rsid w:val="00AF7D1B"/>
    <w:rsid w:val="00B348E5"/>
    <w:rsid w:val="00B44512"/>
    <w:rsid w:val="00B46E0E"/>
    <w:rsid w:val="00B50BA4"/>
    <w:rsid w:val="00B61E92"/>
    <w:rsid w:val="00B76E6E"/>
    <w:rsid w:val="00B918EF"/>
    <w:rsid w:val="00BA173B"/>
    <w:rsid w:val="00BB35AF"/>
    <w:rsid w:val="00BB3664"/>
    <w:rsid w:val="00BB4190"/>
    <w:rsid w:val="00BD6C92"/>
    <w:rsid w:val="00BE295B"/>
    <w:rsid w:val="00BE42E1"/>
    <w:rsid w:val="00BE7996"/>
    <w:rsid w:val="00C04B27"/>
    <w:rsid w:val="00C52E97"/>
    <w:rsid w:val="00C718EC"/>
    <w:rsid w:val="00CA1AE0"/>
    <w:rsid w:val="00CC17D0"/>
    <w:rsid w:val="00CE5841"/>
    <w:rsid w:val="00D0415C"/>
    <w:rsid w:val="00D2319E"/>
    <w:rsid w:val="00D31EB2"/>
    <w:rsid w:val="00D5103B"/>
    <w:rsid w:val="00D5109D"/>
    <w:rsid w:val="00D63229"/>
    <w:rsid w:val="00DB1A1F"/>
    <w:rsid w:val="00DC4B95"/>
    <w:rsid w:val="00DD5955"/>
    <w:rsid w:val="00E64BDD"/>
    <w:rsid w:val="00EB1677"/>
    <w:rsid w:val="00EB1A50"/>
    <w:rsid w:val="00ED3C10"/>
    <w:rsid w:val="00EF5E2D"/>
    <w:rsid w:val="00F05AD7"/>
    <w:rsid w:val="00F75F78"/>
    <w:rsid w:val="00F762D5"/>
    <w:rsid w:val="00F85ECA"/>
    <w:rsid w:val="00FB2488"/>
    <w:rsid w:val="00FC7B9E"/>
    <w:rsid w:val="16404933"/>
    <w:rsid w:val="2D351ABB"/>
    <w:rsid w:val="41490D12"/>
    <w:rsid w:val="4EAB3358"/>
    <w:rsid w:val="58350AC2"/>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13"/>
    <w:unhideWhenUsed/>
    <w:qFormat/>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12"/>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6">
    <w:name w:val="page number"/>
    <w:basedOn w:val="5"/>
    <w:uiPriority w:val="0"/>
  </w:style>
  <w:style w:type="table" w:styleId="8">
    <w:name w:val="Table Grid"/>
    <w:basedOn w:val="7"/>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character" w:customStyle="1" w:styleId="9">
    <w:name w:val="页脚 Char"/>
    <w:basedOn w:val="5"/>
    <w:qFormat/>
    <w:uiPriority w:val="99"/>
    <w:rPr>
      <w:sz w:val="18"/>
      <w:szCs w:val="18"/>
    </w:rPr>
  </w:style>
  <w:style w:type="character" w:customStyle="1" w:styleId="10">
    <w:name w:val="页眉 Char"/>
    <w:basedOn w:val="5"/>
    <w:qFormat/>
    <w:uiPriority w:val="99"/>
    <w:rPr>
      <w:sz w:val="18"/>
      <w:szCs w:val="18"/>
    </w:rPr>
  </w:style>
  <w:style w:type="character" w:customStyle="1" w:styleId="11">
    <w:name w:val="页脚 Char1"/>
    <w:basedOn w:val="5"/>
    <w:link w:val="3"/>
    <w:semiHidden/>
    <w:qFormat/>
    <w:uiPriority w:val="99"/>
    <w:rPr>
      <w:rFonts w:ascii="Times New Roman" w:hAnsi="Times New Roman" w:eastAsia="宋体" w:cs="Times New Roman"/>
      <w:sz w:val="18"/>
      <w:szCs w:val="18"/>
    </w:rPr>
  </w:style>
  <w:style w:type="character" w:customStyle="1" w:styleId="12">
    <w:name w:val="页眉 Char1"/>
    <w:basedOn w:val="5"/>
    <w:link w:val="4"/>
    <w:semiHidden/>
    <w:qFormat/>
    <w:uiPriority w:val="99"/>
    <w:rPr>
      <w:rFonts w:ascii="Times New Roman" w:hAnsi="Times New Roman" w:eastAsia="宋体" w:cs="Times New Roman"/>
      <w:sz w:val="18"/>
      <w:szCs w:val="18"/>
    </w:rPr>
  </w:style>
  <w:style w:type="character" w:customStyle="1" w:styleId="13">
    <w:name w:val="批注框文本 Char"/>
    <w:basedOn w:val="5"/>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114</Words>
  <Characters>654</Characters>
  <Lines>5</Lines>
  <Paragraphs>1</Paragraphs>
  <TotalTime>0</TotalTime>
  <ScaleCrop>false</ScaleCrop>
  <LinksUpToDate>false</LinksUpToDate>
  <CharactersWithSpaces>767</CharactersWithSpaces>
  <Application>WPS Office_10.8.0.5874_F1E327BC-269C-435d-A152-05C5408002CA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2021-09-14T08:07:00Z</dcterms:created>
  <dc:creator>pc</dc:creator>
  <cp:lastModifiedBy>张健</cp:lastModifiedBy>
  <dcterms:modified xsi:type="dcterms:W3CDTF">2021-10-13T08:28:22Z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2052-10.8.0.5874</vt:lpwstr>
  </property>
</Properties>
</file>