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  <w:lang w:val="zh-TW" w:eastAsia="zh-TW"/>
        </w:rPr>
        <w:t>2022</w:t>
      </w:r>
      <w:r>
        <w:rPr>
          <w:rFonts w:hint="eastAsia" w:eastAsia="方正小标宋_GBK"/>
          <w:sz w:val="44"/>
          <w:szCs w:val="44"/>
          <w:lang w:val="zh-TW"/>
        </w:rPr>
        <w:t>年涪陵区医疗器械监管</w:t>
      </w:r>
      <w:r>
        <w:rPr>
          <w:rFonts w:hint="eastAsia" w:eastAsia="方正小标宋_GBK"/>
          <w:sz w:val="44"/>
          <w:szCs w:val="44"/>
        </w:rPr>
        <w:t>工作要点</w:t>
      </w:r>
    </w:p>
    <w:bookmarkEnd w:id="0"/>
    <w:p>
      <w:pPr>
        <w:snapToGrid w:val="0"/>
        <w:spacing w:line="600" w:lineRule="exact"/>
        <w:ind w:firstLine="640" w:firstLineChars="200"/>
        <w:rPr>
          <w:szCs w:val="32"/>
          <w:lang w:val="zh-TW"/>
        </w:rPr>
      </w:pPr>
    </w:p>
    <w:p>
      <w:pPr>
        <w:snapToGrid w:val="0"/>
        <w:spacing w:line="600" w:lineRule="exact"/>
        <w:ind w:firstLine="640" w:firstLineChars="200"/>
        <w:rPr>
          <w:szCs w:val="32"/>
          <w:lang w:val="zh-TW"/>
        </w:rPr>
      </w:pPr>
      <w:r>
        <w:rPr>
          <w:szCs w:val="32"/>
          <w:lang w:val="zh-TW" w:eastAsia="zh-TW"/>
        </w:rPr>
        <w:t>2022年，</w:t>
      </w:r>
      <w:r>
        <w:rPr>
          <w:szCs w:val="32"/>
          <w:lang w:val="zh-TW"/>
        </w:rPr>
        <w:t>医疗器械监管工作总体要求是：以习近平新时代中国特色社会主义思想为指导，</w:t>
      </w:r>
      <w:r>
        <w:rPr>
          <w:szCs w:val="32"/>
        </w:rPr>
        <w:t>全面贯彻党的十九大和十九届历</w:t>
      </w:r>
      <w:r>
        <w:rPr>
          <w:szCs w:val="32"/>
          <w:lang w:val="zh-TW"/>
        </w:rPr>
        <w:t>次全会精神，全面贯彻实施《医疗器械监督管理条例》</w:t>
      </w:r>
      <w:r>
        <w:rPr>
          <w:rFonts w:hint="eastAsia"/>
          <w:szCs w:val="32"/>
          <w:lang w:val="zh-TW"/>
        </w:rPr>
        <w:t>，</w:t>
      </w:r>
      <w:r>
        <w:rPr>
          <w:szCs w:val="32"/>
          <w:lang w:val="zh-TW"/>
        </w:rPr>
        <w:t>按照</w:t>
      </w:r>
      <w:r>
        <w:rPr>
          <w:szCs w:val="32"/>
          <w:lang w:val="zh-TW" w:eastAsia="zh-TW"/>
        </w:rPr>
        <w:t>202</w:t>
      </w:r>
      <w:r>
        <w:rPr>
          <w:szCs w:val="32"/>
        </w:rPr>
        <w:t>2</w:t>
      </w:r>
      <w:r>
        <w:rPr>
          <w:szCs w:val="32"/>
          <w:lang w:val="zh-TW"/>
        </w:rPr>
        <w:t>年</w:t>
      </w:r>
      <w:r>
        <w:rPr>
          <w:rFonts w:hint="eastAsia"/>
          <w:szCs w:val="32"/>
          <w:lang w:val="zh-TW"/>
        </w:rPr>
        <w:t>全市</w:t>
      </w:r>
      <w:r>
        <w:rPr>
          <w:szCs w:val="32"/>
          <w:lang w:val="zh-TW"/>
        </w:rPr>
        <w:t>医疗器械监督管理工作要求，坚持稳中求进总基调，</w:t>
      </w:r>
      <w:r>
        <w:rPr>
          <w:szCs w:val="32"/>
          <w:lang w:val="zh-TW" w:eastAsia="zh-TW"/>
        </w:rPr>
        <w:t>持续</w:t>
      </w:r>
      <w:r>
        <w:rPr>
          <w:szCs w:val="32"/>
          <w:lang w:val="zh-TW"/>
        </w:rPr>
        <w:t>加强疫情防控医疗器械监管</w:t>
      </w:r>
      <w:r>
        <w:rPr>
          <w:szCs w:val="32"/>
          <w:lang w:val="zh-TW" w:eastAsia="zh-TW"/>
        </w:rPr>
        <w:t>，</w:t>
      </w:r>
      <w:r>
        <w:rPr>
          <w:szCs w:val="32"/>
          <w:lang w:val="zh-TW"/>
        </w:rPr>
        <w:t>不断强化风险防控和违法违规行为整治，</w:t>
      </w:r>
      <w:r>
        <w:rPr>
          <w:szCs w:val="32"/>
        </w:rPr>
        <w:t>全力保障医疗器械质量安全</w:t>
      </w:r>
      <w:r>
        <w:rPr>
          <w:szCs w:val="32"/>
          <w:lang w:val="zh-TW" w:eastAsia="zh-TW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一、持续加强</w:t>
      </w:r>
      <w:r>
        <w:rPr>
          <w:rFonts w:hint="eastAsia" w:ascii="方正黑体_GBK" w:hAnsi="方正黑体_GBK" w:eastAsia="方正黑体_GBK" w:cs="方正黑体_GBK"/>
          <w:bCs/>
          <w:szCs w:val="32"/>
          <w:lang w:val="zh-CN"/>
        </w:rPr>
        <w:t>日常监督检查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  <w:lang w:val="zh-CN"/>
        </w:rPr>
      </w:pPr>
      <w:r>
        <w:rPr>
          <w:rFonts w:hint="eastAsia" w:ascii="方正仿宋_GBK" w:hAnsi="方正仿宋_GBK" w:cs="方正仿宋_GBK"/>
          <w:szCs w:val="32"/>
          <w:lang w:val="zh-CN"/>
        </w:rPr>
        <w:t>按照区局制定的监管计划，严格落实分类分级监督管理规定，强化对医疗器械经营使用环节的日常监督检查，严厉打击查处未经许可经营、经营使用无证产品、从非法渠道购进医疗器械、未按说明书和标签标示要求储运医疗器械等违法违规行为，规范医疗器械市场秩序，确保人民群众用械安全。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二、持续开展疫情防控医疗器械监管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  <w:lang w:val="zh-TW"/>
        </w:rPr>
      </w:pPr>
      <w:r>
        <w:rPr>
          <w:rFonts w:hint="eastAsia" w:ascii="方正仿宋_GBK" w:hAnsi="方正仿宋_GBK" w:cs="方正仿宋_GBK"/>
          <w:szCs w:val="32"/>
          <w:lang w:val="zh-TW"/>
        </w:rPr>
        <w:t>加强疫情防控医疗器械经营使用环节监管，特别是对</w:t>
      </w:r>
      <w:r>
        <w:rPr>
          <w:rFonts w:hint="eastAsia" w:ascii="方正仿宋_GBK" w:hAnsi="方正仿宋_GBK" w:cs="方正仿宋_GBK"/>
          <w:szCs w:val="32"/>
        </w:rPr>
        <w:t>疫情防控医疗器械物资储备企业、新冠检测试剂经营企业、定点救治医院、新冠病毒监测点、隔离点等经营使用单位的监督管理，确保疫情防控产品渠道合法和质量安全。</w:t>
      </w:r>
      <w:r>
        <w:rPr>
          <w:rFonts w:hint="eastAsia" w:ascii="方正仿宋_GBK" w:hAnsi="方正仿宋_GBK" w:cs="方正仿宋_GBK"/>
          <w:szCs w:val="32"/>
          <w:lang w:val="zh-TW" w:eastAsia="zh-TW"/>
        </w:rPr>
        <w:t>重点关注体外诊断试剂储存和冷链运输管理，网络销售疫情防控医疗器械相关产品。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三、深入开展风险隐患排查和专项治理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  <w:lang w:val="zh-TW"/>
        </w:rPr>
      </w:pPr>
      <w:r>
        <w:rPr>
          <w:rFonts w:hint="eastAsia" w:ascii="方正仿宋_GBK" w:hAnsi="方正仿宋_GBK" w:cs="方正仿宋_GBK"/>
          <w:szCs w:val="32"/>
        </w:rPr>
        <w:t>以疫情防控医疗器械、</w:t>
      </w:r>
      <w:r>
        <w:rPr>
          <w:rFonts w:hint="eastAsia" w:ascii="方正仿宋_GBK" w:hAnsi="方正仿宋_GBK" w:cs="方正仿宋_GBK"/>
          <w:szCs w:val="32"/>
          <w:lang w:val="zh-TW" w:eastAsia="zh-TW"/>
        </w:rPr>
        <w:t>集采</w:t>
      </w:r>
      <w:r>
        <w:rPr>
          <w:rFonts w:hint="eastAsia" w:ascii="方正仿宋_GBK" w:hAnsi="方正仿宋_GBK" w:cs="方正仿宋_GBK"/>
          <w:szCs w:val="32"/>
          <w:lang w:val="zh-TW"/>
        </w:rPr>
        <w:t>中选医疗器械、</w:t>
      </w:r>
      <w:r>
        <w:rPr>
          <w:rFonts w:hint="eastAsia" w:ascii="方正仿宋_GBK" w:hAnsi="方正仿宋_GBK" w:cs="方正仿宋_GBK"/>
          <w:szCs w:val="32"/>
          <w:lang w:val="zh-TW" w:eastAsia="zh-TW"/>
        </w:rPr>
        <w:t>无菌和植入性医疗器械、</w:t>
      </w:r>
      <w:r>
        <w:rPr>
          <w:rFonts w:hint="eastAsia" w:ascii="方正仿宋_GBK" w:hAnsi="方正仿宋_GBK" w:cs="方正仿宋_GBK"/>
          <w:szCs w:val="32"/>
          <w:lang w:val="zh-TW"/>
        </w:rPr>
        <w:t>创新医疗器械等为重点产品，以及监督检查、</w:t>
      </w:r>
      <w:r>
        <w:rPr>
          <w:rFonts w:hint="eastAsia" w:ascii="方正仿宋_GBK" w:hAnsi="方正仿宋_GBK" w:cs="方正仿宋_GBK"/>
          <w:szCs w:val="32"/>
        </w:rPr>
        <w:t>抽检、监测、投诉举报等发现问题较多的企业为重点，以网络销售为重点环节，深入开展风险隐患排查治理，确保取得实效。</w:t>
      </w:r>
      <w:r>
        <w:rPr>
          <w:rFonts w:hint="eastAsia" w:ascii="方正仿宋_GBK" w:hAnsi="方正仿宋_GBK" w:cs="方正仿宋_GBK"/>
          <w:szCs w:val="32"/>
          <w:lang w:val="zh-TW"/>
        </w:rPr>
        <w:t>聚焦风险、聚焦企业、聚焦产品、聚焦处置，定期开展风险会商，对问题和风险，实行清单销号制。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开展医疗器械“线上清网线下规范”治理。以社会关注度高、舆情反映较多的贴敷类等医疗器械为重点，以违法违规行为频发的企业、违规从事网络销售经营者为重点企业，开展线上清网线下规范治理。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加大网络销售监测力度，对监测发现和移送的违法违规线索，要立即开展调查处置。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  <w:lang w:val="zh-CN"/>
        </w:rPr>
      </w:pPr>
      <w:r>
        <w:rPr>
          <w:rFonts w:hint="eastAsia" w:ascii="方正仿宋_GBK" w:hAnsi="方正仿宋_GBK" w:cs="方正仿宋_GBK"/>
          <w:szCs w:val="32"/>
          <w:lang w:val="zh-CN"/>
        </w:rPr>
        <w:t>加强集中带量采购医疗器械监管。督促经营使用单位做好采购、验收和储存等质量管理工作，确保集采医疗器械在流通使用环节的质量安全和可追溯。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四、不断加强监督检查抽检和监测评价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  <w:lang w:val="zh-TW"/>
        </w:rPr>
      </w:pPr>
      <w:r>
        <w:rPr>
          <w:rFonts w:hint="eastAsia" w:eastAsia="方正楷体_GBK"/>
          <w:lang w:val="zh-TW"/>
        </w:rPr>
        <w:t>持续开展飞行检查，保持高压态势。</w:t>
      </w:r>
      <w:r>
        <w:rPr>
          <w:rFonts w:hint="eastAsia" w:ascii="方正仿宋_GBK" w:hAnsi="方正仿宋_GBK" w:cs="方正仿宋_GBK"/>
          <w:szCs w:val="32"/>
          <w:lang w:val="zh-CN"/>
        </w:rPr>
        <w:t>在落实分类分级监管的基础上，根据市药监局统一部署，统筹计划年度飞行检查任务，重点组织对风险较高、问题较多以及多次抽检不合格、投诉举报和舆情频发涉及质量问题等产品开展飞行检查，</w:t>
      </w:r>
      <w:r>
        <w:rPr>
          <w:rFonts w:hint="eastAsia" w:ascii="方正仿宋_GBK" w:hAnsi="方正仿宋_GBK" w:cs="方正仿宋_GBK"/>
          <w:szCs w:val="32"/>
          <w:lang w:val="zh-TW"/>
        </w:rPr>
        <w:t>发现问题及时处置，切实提升飞行检查的靶向性、时效性。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  <w:lang w:val="zh-CN"/>
        </w:rPr>
      </w:pPr>
      <w:r>
        <w:rPr>
          <w:rFonts w:hint="eastAsia" w:eastAsia="方正楷体_GBK"/>
          <w:lang w:val="zh-TW"/>
        </w:rPr>
        <w:t>不断强化质量监督抽检。</w:t>
      </w:r>
      <w:r>
        <w:rPr>
          <w:rFonts w:hint="eastAsia" w:ascii="方正仿宋_GBK" w:hAnsi="方正仿宋_GBK" w:cs="方正仿宋_GBK"/>
          <w:szCs w:val="32"/>
        </w:rPr>
        <w:t>坚持以问题为导向制定实施抽检计划，以风险高、质控难度较大、问题多发、社会关注度高的品种为重点开展市级抽检，跟踪抽检既往国抽发现不合格产品，</w:t>
      </w:r>
      <w:r>
        <w:rPr>
          <w:rFonts w:hint="eastAsia" w:ascii="方正仿宋_GBK" w:hAnsi="方正仿宋_GBK" w:cs="方正仿宋_GBK"/>
          <w:szCs w:val="32"/>
          <w:lang w:val="zh-CN"/>
        </w:rPr>
        <w:t>强化监督抽检后处置。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eastAsia="方正楷体_GBK"/>
          <w:lang w:val="zh-TW"/>
        </w:rPr>
        <w:t>不断加强不良事件监测工作。</w:t>
      </w:r>
      <w:r>
        <w:rPr>
          <w:rFonts w:hint="eastAsia" w:ascii="方正仿宋_GBK" w:hAnsi="方正仿宋_GBK" w:cs="方正仿宋_GBK"/>
          <w:szCs w:val="32"/>
        </w:rPr>
        <w:t>结合日常监测情况开展专项检查，督促经营使用单位完善不良事件监测体系，切实履行监测责任。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五、持续加大违法案件查处力度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cs="方正仿宋_GBK"/>
          <w:szCs w:val="32"/>
        </w:rPr>
      </w:pPr>
      <w:r>
        <w:rPr>
          <w:rFonts w:hint="eastAsia" w:eastAsia="方正楷体_GBK"/>
          <w:lang w:val="zh-TW"/>
        </w:rPr>
        <w:t>严惩重处医疗器械违法违规行为。</w:t>
      </w:r>
      <w:r>
        <w:rPr>
          <w:rFonts w:hint="eastAsia" w:ascii="方正仿宋_GBK" w:hAnsi="方正仿宋_GBK" w:cs="方正仿宋_GBK"/>
          <w:szCs w:val="32"/>
        </w:rPr>
        <w:t>按照市药监局药品安全专项整治行动要求，深入开展医疗器械领域的专项整治工</w:t>
      </w:r>
      <w:r>
        <w:rPr>
          <w:rFonts w:hint="eastAsia" w:ascii="方正仿宋_GBK" w:hAnsi="方正仿宋_GBK" w:cs="方正仿宋_GBK"/>
          <w:szCs w:val="32"/>
          <w:lang w:val="zh-CN"/>
        </w:rPr>
        <w:t>作，查处违法案件，树立典型案例，移送犯罪线索，消除风险隐患。保持打击违法违规行为的高压态势，对查处涉及高风险医疗器</w:t>
      </w:r>
      <w:r>
        <w:rPr>
          <w:rFonts w:hint="eastAsia" w:ascii="方正仿宋_GBK" w:hAnsi="方正仿宋_GBK" w:cs="方正仿宋_GBK"/>
          <w:szCs w:val="32"/>
        </w:rPr>
        <w:t>械案件，及时追控涉案产。加强通报协查联合办案，涉嫌犯罪的，及时做好行刑衔接。对屡次违规的企业和严重违法违规行为要依法从重处罚，落实“处罚到人”，依法严厉处罚。</w:t>
      </w:r>
    </w:p>
    <w:p>
      <w:pPr>
        <w:snapToGrid w:val="0"/>
        <w:spacing w:line="600" w:lineRule="exact"/>
        <w:ind w:firstLine="640" w:firstLineChars="200"/>
        <w:rPr>
          <w:rFonts w:ascii="方正黑体_GBK" w:eastAsia="方正黑体_GBK"/>
          <w:lang w:val="zh-TW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六、</w:t>
      </w:r>
      <w:r>
        <w:rPr>
          <w:rFonts w:hint="eastAsia" w:ascii="方正黑体_GBK" w:eastAsia="方正黑体_GBK"/>
          <w:lang w:val="zh-TW"/>
        </w:rPr>
        <w:t>持续加强法规宣贯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szCs w:val="32"/>
        </w:rPr>
      </w:pPr>
      <w:r>
        <w:rPr>
          <w:rFonts w:hint="eastAsia"/>
          <w:szCs w:val="32"/>
          <w:lang w:val="zh-CN"/>
        </w:rPr>
        <w:t>继续开展</w:t>
      </w:r>
      <w:r>
        <w:rPr>
          <w:szCs w:val="32"/>
          <w:lang w:val="zh-CN"/>
        </w:rPr>
        <w:t>《医疗器械监督管理条例》</w:t>
      </w:r>
      <w:r>
        <w:rPr>
          <w:rFonts w:hint="eastAsia"/>
          <w:szCs w:val="32"/>
          <w:lang w:val="zh-CN"/>
        </w:rPr>
        <w:t>及其</w:t>
      </w:r>
      <w:r>
        <w:rPr>
          <w:szCs w:val="32"/>
        </w:rPr>
        <w:t>配套规章</w:t>
      </w:r>
      <w:r>
        <w:rPr>
          <w:rFonts w:hint="eastAsia"/>
          <w:szCs w:val="32"/>
        </w:rPr>
        <w:t>的宣传</w:t>
      </w:r>
      <w:r>
        <w:rPr>
          <w:szCs w:val="32"/>
        </w:rPr>
        <w:t>，加强对</w:t>
      </w:r>
      <w:r>
        <w:rPr>
          <w:rFonts w:hint="eastAsia"/>
          <w:szCs w:val="32"/>
        </w:rPr>
        <w:t>经营使用单位</w:t>
      </w:r>
      <w:r>
        <w:rPr>
          <w:szCs w:val="32"/>
        </w:rPr>
        <w:t>和监管人员法规的培训和宣贯，进一步落实主体责任和监管责任</w:t>
      </w:r>
      <w:r>
        <w:rPr>
          <w:rFonts w:hint="eastAsia"/>
          <w:szCs w:val="32"/>
        </w:rPr>
        <w:t>。</w:t>
      </w:r>
      <w:r>
        <w:rPr>
          <w:szCs w:val="32"/>
          <w:lang w:val="zh-TW" w:eastAsia="zh-TW"/>
        </w:rPr>
        <w:t>督促</w:t>
      </w:r>
      <w:r>
        <w:rPr>
          <w:rFonts w:hint="eastAsia"/>
          <w:szCs w:val="32"/>
          <w:lang w:val="zh-TW"/>
        </w:rPr>
        <w:t>经营使用单位</w:t>
      </w:r>
      <w:r>
        <w:rPr>
          <w:szCs w:val="32"/>
          <w:lang w:val="zh-TW" w:eastAsia="zh-TW"/>
        </w:rPr>
        <w:t>加强对关键岗位人员的培训和教育，采取切实措施保障</w:t>
      </w:r>
      <w:r>
        <w:rPr>
          <w:szCs w:val="32"/>
          <w:lang w:val="zh-TW"/>
        </w:rPr>
        <w:t>经营</w:t>
      </w:r>
      <w:r>
        <w:rPr>
          <w:rFonts w:hint="eastAsia"/>
          <w:szCs w:val="32"/>
          <w:lang w:val="zh-TW"/>
        </w:rPr>
        <w:t>使用</w:t>
      </w:r>
      <w:r>
        <w:rPr>
          <w:szCs w:val="32"/>
          <w:lang w:val="zh-TW" w:eastAsia="zh-TW"/>
        </w:rPr>
        <w:t>质量管理体系的有效运行。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07E8"/>
    <w:rsid w:val="0E76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2023-01-16T07:06:00Z</dcterms:created>
  <dc:creator>涪陵区市场监管局</dc:creator>
  <cp:lastModifiedBy>涪陵区市场监管局</cp:lastModifiedBy>
  <dcterms:modified xsi:type="dcterms:W3CDTF">2023-01-16T07:07:01Z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