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关于重庆佳嘉医疗器械有限公司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4-29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D33A3A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企业名称：重庆佳嘉医疗器械有限公司</w:t>
            </w:r>
          </w:p>
          <w:p w14:paraId="5A1D216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20214E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重庆市大足区棠香街道办事处北环二路东段298号2幢1层（13号）</w:t>
            </w: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侯秀居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罗晓君</w:t>
            </w:r>
          </w:p>
          <w:p w14:paraId="214E3889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eastAsia="zh-CN"/>
              </w:rPr>
              <w:t>侯秀居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78FC1D9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45D7A353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2017年分类目录：07医用诊察和监护器械，08呼吸、麻醉和急救器械，09物理治疗器械，14注输、护理和防护器械，18妇产科、辅助生殖和避孕器械，19医用康复器械，20中医器械，6840体外诊断试剂（不需冷链运输、贮存）***</w:t>
            </w:r>
          </w:p>
          <w:p w14:paraId="32D9D31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26339B2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78C667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96E07D1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243</Words>
  <Characters>274</Characters>
  <Lines>2</Lines>
  <Paragraphs>1</Paragraphs>
  <TotalTime>1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2025-04-29T08:00:25Z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