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6"/>
                <w:szCs w:val="36"/>
              </w:rPr>
              <w:t>关于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shd w:val="clear" w:fill="FFFFFF"/>
              </w:rPr>
              <w:t>重庆市大足区何燕大药房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08-05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A6F539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重庆市大足区何燕大药房</w:t>
            </w:r>
            <w:bookmarkStart w:id="0" w:name="_GoBack"/>
            <w:bookmarkEnd w:id="0"/>
          </w:p>
          <w:p w14:paraId="3C06FFD7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重庆市大足区龙水镇龙古路128号</w:t>
            </w: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何值燕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何值燕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何值燕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2017年分类目录:07医用诊察和监护器械、08呼吸、麻醉和急救器械、09物理治疗器械、10输血、透析和体外循环器械、14注输、护理和防护器械、15患者承载器械、16眼科器械、17口腔科器械、18妇产科、辅助生殖和避孕器械、19医用康复器械、20中医器械、22临床检验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61783D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267</Words>
  <Characters>316</Characters>
  <Lines>2</Lines>
  <Paragraphs>1</Paragraphs>
  <TotalTime>0</TotalTime>
  <ScaleCrop>false</ScaleCrop>
  <LinksUpToDate>false</LinksUpToDate>
  <CharactersWithSpaces>347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2024-08-05T08:29:58Z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7EFE745C24F744FDACC0E28BF739FA80_13</vt:lpwstr>
  </property>
</Properties>
</file>