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rFonts w:ascii="微软雅黑" w:hAnsi="微软雅黑" w:eastAsia="微软雅黑" w:cs="微软雅黑"/>
          <w:i w:val="0"/>
          <w:caps w:val="0"/>
          <w:color w:val="333333"/>
          <w:spacing w:val="0"/>
          <w:sz w:val="45"/>
          <w:szCs w:val="45"/>
          <w:bdr w:val="none" w:color="auto" w:sz="0" w:space="0"/>
          <w:shd w:val="clear" w:fill="FFFFFF"/>
        </w:rPr>
        <w:t>《重庆市市场监管现代化“十四五”规划（2021-2025年）》政策解读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10" w:afterAutospacing="0" w:line="480" w:lineRule="atLeast"/>
        <w:ind w:left="0" w:right="0" w:firstLine="0"/>
        <w:jc w:val="center"/>
        <w:rPr>
          <w:rFonts w:hint="eastAsia" w:ascii="微软雅黑" w:hAnsi="微软雅黑" w:eastAsia="微软雅黑" w:cs="微软雅黑"/>
          <w:i w:val="0"/>
          <w:caps w:val="0"/>
          <w:color w:val="000000"/>
          <w:spacing w:val="0"/>
          <w:sz w:val="0"/>
          <w:szCs w:val="0"/>
        </w:rPr>
      </w:pPr>
      <w:r>
        <w:rPr>
          <w:rFonts w:hint="eastAsia" w:ascii="微软雅黑" w:hAnsi="微软雅黑" w:eastAsia="微软雅黑" w:cs="微软雅黑"/>
          <w:i w:val="0"/>
          <w:caps w:val="0"/>
          <w:color w:val="666666"/>
          <w:spacing w:val="0"/>
          <w:kern w:val="0"/>
          <w:sz w:val="24"/>
          <w:szCs w:val="24"/>
          <w:bdr w:val="none" w:color="auto" w:sz="0" w:space="0"/>
          <w:shd w:val="clear" w:fill="FFFFFF"/>
          <w:lang w:val="en-US" w:eastAsia="zh-CN" w:bidi="ar"/>
        </w:rPr>
        <w:t>日期：2022-01-29</w:t>
      </w:r>
      <w:r>
        <w:rPr>
          <w:rFonts w:hint="eastAsia" w:ascii="微软雅黑" w:hAnsi="微软雅黑" w:eastAsia="微软雅黑" w:cs="微软雅黑"/>
          <w:i w:val="0"/>
          <w:caps w:val="0"/>
          <w:color w:val="000000"/>
          <w:spacing w:val="0"/>
          <w:kern w:val="0"/>
          <w:sz w:val="0"/>
          <w:szCs w:val="0"/>
          <w:bdr w:val="none" w:color="auto" w:sz="0" w:space="0"/>
          <w:shd w:val="clear" w:fill="FFFFFF"/>
          <w:lang w:val="en-US" w:eastAsia="zh-CN" w:bidi="ar"/>
        </w:rPr>
        <w:t> </w:t>
      </w:r>
      <w:r>
        <w:rPr>
          <w:rFonts w:hint="eastAsia" w:ascii="微软雅黑" w:hAnsi="微软雅黑" w:eastAsia="微软雅黑" w:cs="微软雅黑"/>
          <w:i w:val="0"/>
          <w:caps w:val="0"/>
          <w:color w:val="666666"/>
          <w:spacing w:val="0"/>
          <w:kern w:val="0"/>
          <w:sz w:val="24"/>
          <w:szCs w:val="24"/>
          <w:bdr w:val="none" w:color="auto" w:sz="0" w:space="0"/>
          <w:shd w:val="clear" w:fill="FFFFFF"/>
          <w:lang w:val="en-US" w:eastAsia="zh-CN" w:bidi="ar"/>
        </w:rPr>
        <w:t>来源：市市场监管局</w:t>
      </w:r>
      <w:r>
        <w:rPr>
          <w:rFonts w:hint="eastAsia" w:ascii="微软雅黑" w:hAnsi="微软雅黑" w:eastAsia="微软雅黑" w:cs="微软雅黑"/>
          <w:i w:val="0"/>
          <w:caps w:val="0"/>
          <w:color w:val="000000"/>
          <w:spacing w:val="0"/>
          <w:kern w:val="0"/>
          <w:sz w:val="0"/>
          <w:szCs w:val="0"/>
          <w:bdr w:val="none" w:color="auto" w:sz="0" w:space="0"/>
          <w:shd w:val="clear" w:fill="FFFFFF"/>
          <w:lang w:val="en-US" w:eastAsia="zh-CN" w:bidi="ar"/>
        </w:rPr>
        <w:t> </w:t>
      </w:r>
    </w:p>
    <w:p>
      <w:pPr>
        <w:keepNext w:val="0"/>
        <w:keepLines w:val="0"/>
        <w:widowControl/>
        <w:suppressLineNumbers w:val="0"/>
        <w:pBdr>
          <w:top w:val="single" w:color="E5E5E5" w:sz="6" w:space="1"/>
          <w:left w:val="single" w:color="E5E5E5" w:sz="6" w:space="1"/>
          <w:bottom w:val="single" w:color="E5E5E5" w:sz="6" w:space="1"/>
          <w:right w:val="single" w:color="E5E5E5" w:sz="6" w:space="1"/>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000000"/>
          <w:spacing w:val="0"/>
          <w:sz w:val="0"/>
          <w:szCs w:val="0"/>
        </w:rPr>
      </w:pPr>
      <w:bookmarkStart w:id="0" w:name="_GoBack"/>
      <w:bookmarkEnd w:id="0"/>
      <w:r>
        <w:rPr>
          <w:rFonts w:hint="eastAsia" w:ascii="微软雅黑" w:hAnsi="微软雅黑" w:eastAsia="微软雅黑" w:cs="微软雅黑"/>
          <w:i w:val="0"/>
          <w:caps w:val="0"/>
          <w:color w:val="000000"/>
          <w:spacing w:val="0"/>
          <w:kern w:val="0"/>
          <w:sz w:val="0"/>
          <w:szCs w:val="0"/>
          <w:bdr w:val="single" w:color="E5E5E5" w:sz="2" w:space="0"/>
          <w:shd w:val="clear" w:fill="FFFFFF"/>
          <w:lang w:val="en-US" w:eastAsia="zh-CN" w:bidi="ar"/>
        </w:rPr>
        <w:drawing>
          <wp:inline distT="0" distB="0" distL="114300" distR="114300">
            <wp:extent cx="247650" cy="2476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47650" cy="247650"/>
                    </a:xfrm>
                    <a:prstGeom prst="rect">
                      <a:avLst/>
                    </a:prstGeom>
                    <a:noFill/>
                    <a:ln w="9525">
                      <a:noFill/>
                    </a:ln>
                  </pic:spPr>
                </pic:pic>
              </a:graphicData>
            </a:graphic>
          </wp:inline>
        </w:drawing>
      </w:r>
      <w:r>
        <w:rPr>
          <w:rFonts w:hint="eastAsia" w:ascii="微软雅黑" w:hAnsi="微软雅黑" w:eastAsia="微软雅黑" w:cs="微软雅黑"/>
          <w:i w:val="0"/>
          <w:caps w:val="0"/>
          <w:color w:val="6A6A6A"/>
          <w:spacing w:val="0"/>
          <w:kern w:val="0"/>
          <w:sz w:val="24"/>
          <w:szCs w:val="24"/>
          <w:shd w:val="clear" w:fill="FFFFFF"/>
          <w:lang w:val="en-US" w:eastAsia="zh-CN" w:bidi="ar"/>
        </w:rPr>
        <w:t>大中小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ascii="方正黑体_GBK" w:hAnsi="方正黑体_GBK" w:eastAsia="方正黑体_GBK" w:cs="方正黑体_GBK"/>
          <w:i w:val="0"/>
          <w:caps w:val="0"/>
          <w:color w:val="333333"/>
          <w:spacing w:val="0"/>
          <w:sz w:val="24"/>
          <w:szCs w:val="24"/>
          <w:bdr w:val="none" w:color="auto" w:sz="0" w:space="0"/>
          <w:shd w:val="clear" w:fill="FFFFFF"/>
        </w:rPr>
        <w:t>一、背景依据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宋体" w:hAnsi="宋体" w:eastAsia="宋体" w:cs="宋体"/>
          <w:i w:val="0"/>
          <w:caps w:val="0"/>
          <w:color w:val="333333"/>
          <w:spacing w:val="0"/>
          <w:sz w:val="24"/>
          <w:szCs w:val="24"/>
          <w:bdr w:val="none" w:color="auto" w:sz="0" w:space="0"/>
          <w:shd w:val="clear" w:fill="FFFFFF"/>
        </w:rPr>
        <w:t>市场监管现代化是国家治理体系和治理能力现代化的重要组成部分。“十三五”时期，重庆市场监管体制历史性重塑，商事制度深刻变革，公平竞争政策基础地位加强，质量强市建设成效明显，知识产权战略深入实施，安全形势稳中向好，消费维权社会共治体系更加完善，成渝地区市场监管一体化机制建立，防控新冠肺炎疫情市场监管作用充分彰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caps w:val="0"/>
          <w:color w:val="333333"/>
          <w:spacing w:val="0"/>
          <w:sz w:val="24"/>
          <w:szCs w:val="24"/>
          <w:bdr w:val="none" w:color="auto" w:sz="0" w:space="0"/>
          <w:shd w:val="clear" w:fill="FFFFFF"/>
        </w:rPr>
        <w:t>市场监管“十三五”规划主要指标实现情况</w:t>
      </w:r>
    </w:p>
    <w:tbl>
      <w:tblPr>
        <w:tblW w:w="8895" w:type="dxa"/>
        <w:jc w:val="center"/>
        <w:tblInd w:w="-208"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23"/>
        <w:gridCol w:w="5020"/>
        <w:gridCol w:w="910"/>
        <w:gridCol w:w="1263"/>
        <w:gridCol w:w="107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6" w:hRule="atLeast"/>
          <w:jc w:val="center"/>
        </w:trPr>
        <w:tc>
          <w:tcPr>
            <w:tcW w:w="62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序号</w:t>
            </w:r>
          </w:p>
        </w:tc>
        <w:tc>
          <w:tcPr>
            <w:tcW w:w="502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指 标 名 称</w:t>
            </w:r>
          </w:p>
        </w:tc>
        <w:tc>
          <w:tcPr>
            <w:tcW w:w="91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属性</w:t>
            </w:r>
          </w:p>
        </w:tc>
        <w:tc>
          <w:tcPr>
            <w:tcW w:w="126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规划目标</w:t>
            </w:r>
          </w:p>
        </w:tc>
        <w:tc>
          <w:tcPr>
            <w:tcW w:w="107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实现情况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62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w:t>
            </w:r>
          </w:p>
        </w:tc>
        <w:tc>
          <w:tcPr>
            <w:tcW w:w="502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市场主体总量（万户）</w:t>
            </w:r>
          </w:p>
        </w:tc>
        <w:tc>
          <w:tcPr>
            <w:tcW w:w="91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c>
          <w:tcPr>
            <w:tcW w:w="126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260</w:t>
            </w:r>
          </w:p>
        </w:tc>
        <w:tc>
          <w:tcPr>
            <w:tcW w:w="107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300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62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2</w:t>
            </w:r>
          </w:p>
        </w:tc>
        <w:tc>
          <w:tcPr>
            <w:tcW w:w="502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有效注册商标总量（万件）</w:t>
            </w:r>
          </w:p>
        </w:tc>
        <w:tc>
          <w:tcPr>
            <w:tcW w:w="91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c>
          <w:tcPr>
            <w:tcW w:w="126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30</w:t>
            </w:r>
          </w:p>
        </w:tc>
        <w:tc>
          <w:tcPr>
            <w:tcW w:w="107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60.4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62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3</w:t>
            </w:r>
          </w:p>
        </w:tc>
        <w:tc>
          <w:tcPr>
            <w:tcW w:w="502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地理标志拥有量（件）</w:t>
            </w:r>
          </w:p>
        </w:tc>
        <w:tc>
          <w:tcPr>
            <w:tcW w:w="91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c>
          <w:tcPr>
            <w:tcW w:w="126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220</w:t>
            </w:r>
          </w:p>
        </w:tc>
        <w:tc>
          <w:tcPr>
            <w:tcW w:w="107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278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62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4</w:t>
            </w:r>
          </w:p>
        </w:tc>
        <w:tc>
          <w:tcPr>
            <w:tcW w:w="502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马德里国际注册商标（件）</w:t>
            </w:r>
          </w:p>
        </w:tc>
        <w:tc>
          <w:tcPr>
            <w:tcW w:w="91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c>
          <w:tcPr>
            <w:tcW w:w="126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280</w:t>
            </w:r>
          </w:p>
        </w:tc>
        <w:tc>
          <w:tcPr>
            <w:tcW w:w="107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373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62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5</w:t>
            </w:r>
          </w:p>
        </w:tc>
        <w:tc>
          <w:tcPr>
            <w:tcW w:w="502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每万人发明专利拥有量（件）</w:t>
            </w:r>
          </w:p>
        </w:tc>
        <w:tc>
          <w:tcPr>
            <w:tcW w:w="91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c>
          <w:tcPr>
            <w:tcW w:w="126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6</w:t>
            </w:r>
          </w:p>
        </w:tc>
        <w:tc>
          <w:tcPr>
            <w:tcW w:w="107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11.3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62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6</w:t>
            </w:r>
          </w:p>
        </w:tc>
        <w:tc>
          <w:tcPr>
            <w:tcW w:w="502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新增中国质量奖或提名奖（项）</w:t>
            </w:r>
          </w:p>
        </w:tc>
        <w:tc>
          <w:tcPr>
            <w:tcW w:w="91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c>
          <w:tcPr>
            <w:tcW w:w="126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w:t>
            </w:r>
          </w:p>
        </w:tc>
        <w:tc>
          <w:tcPr>
            <w:tcW w:w="107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62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7</w:t>
            </w:r>
          </w:p>
        </w:tc>
        <w:tc>
          <w:tcPr>
            <w:tcW w:w="502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新增地方标准（项）</w:t>
            </w:r>
          </w:p>
        </w:tc>
        <w:tc>
          <w:tcPr>
            <w:tcW w:w="91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c>
          <w:tcPr>
            <w:tcW w:w="126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500</w:t>
            </w:r>
          </w:p>
        </w:tc>
        <w:tc>
          <w:tcPr>
            <w:tcW w:w="107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598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62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8</w:t>
            </w:r>
          </w:p>
        </w:tc>
        <w:tc>
          <w:tcPr>
            <w:tcW w:w="502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新建社会公用计量标准（项）</w:t>
            </w:r>
          </w:p>
        </w:tc>
        <w:tc>
          <w:tcPr>
            <w:tcW w:w="91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c>
          <w:tcPr>
            <w:tcW w:w="126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180</w:t>
            </w:r>
          </w:p>
        </w:tc>
        <w:tc>
          <w:tcPr>
            <w:tcW w:w="107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202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62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9</w:t>
            </w:r>
          </w:p>
        </w:tc>
        <w:tc>
          <w:tcPr>
            <w:tcW w:w="502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食品评价性抽检合格率（%）</w:t>
            </w:r>
          </w:p>
        </w:tc>
        <w:tc>
          <w:tcPr>
            <w:tcW w:w="91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c>
          <w:tcPr>
            <w:tcW w:w="126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95</w:t>
            </w:r>
          </w:p>
        </w:tc>
        <w:tc>
          <w:tcPr>
            <w:tcW w:w="107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98.66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62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10</w:t>
            </w:r>
          </w:p>
        </w:tc>
        <w:tc>
          <w:tcPr>
            <w:tcW w:w="502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万台特种设备事故死亡人数年平均值（人）</w:t>
            </w:r>
          </w:p>
        </w:tc>
        <w:tc>
          <w:tcPr>
            <w:tcW w:w="91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c>
          <w:tcPr>
            <w:tcW w:w="126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0.38</w:t>
            </w:r>
          </w:p>
        </w:tc>
        <w:tc>
          <w:tcPr>
            <w:tcW w:w="107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0.09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56" w:hRule="atLeast"/>
          <w:jc w:val="center"/>
        </w:trPr>
        <w:tc>
          <w:tcPr>
            <w:tcW w:w="62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11</w:t>
            </w:r>
          </w:p>
        </w:tc>
        <w:tc>
          <w:tcPr>
            <w:tcW w:w="502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新增国家质检中心（个）</w:t>
            </w:r>
          </w:p>
        </w:tc>
        <w:tc>
          <w:tcPr>
            <w:tcW w:w="910"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c>
          <w:tcPr>
            <w:tcW w:w="1263"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3</w:t>
            </w:r>
          </w:p>
        </w:tc>
        <w:tc>
          <w:tcPr>
            <w:tcW w:w="107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3</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宋体" w:hAnsi="宋体" w:eastAsia="宋体" w:cs="宋体"/>
          <w:i w:val="0"/>
          <w:caps w:val="0"/>
          <w:color w:val="333333"/>
          <w:spacing w:val="0"/>
          <w:sz w:val="24"/>
          <w:szCs w:val="24"/>
          <w:bdr w:val="none" w:color="auto" w:sz="0" w:space="0"/>
          <w:shd w:val="clear" w:fill="FFFFFF"/>
        </w:rPr>
        <w:t>“十四五”时期是开启全面建设社会主义现代化国家新征程的第一个五年。为全面落实习近平总书记关于市场监管重要论述和对重庆提出的系列重要指示要求，根据《成渝地区双城经济圈建设规划纲要》《重庆市国民经济和社会发展第十四个五年规划和二○三五年远景目标纲要》等文件精神，市市场监管局牵头编制了《重庆市市场监管现代化“十四五”规划（2021—2025年）》（以下简称《规划》）。这是重庆“十四五”时期市级重点专项规划，对推进重庆市场监管治理体系和治理能力现代化具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方正黑体_GBK" w:hAnsi="方正黑体_GBK" w:eastAsia="方正黑体_GBK" w:cs="方正黑体_GBK"/>
          <w:i w:val="0"/>
          <w:caps w:val="0"/>
          <w:color w:val="333333"/>
          <w:spacing w:val="0"/>
          <w:sz w:val="24"/>
          <w:szCs w:val="24"/>
          <w:bdr w:val="none" w:color="auto" w:sz="0" w:space="0"/>
          <w:shd w:val="clear" w:fill="FFFFFF"/>
        </w:rPr>
        <w:t>二、编制过程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宋体" w:hAnsi="宋体" w:eastAsia="宋体" w:cs="宋体"/>
          <w:i w:val="0"/>
          <w:caps w:val="0"/>
          <w:color w:val="333333"/>
          <w:spacing w:val="0"/>
          <w:sz w:val="24"/>
          <w:szCs w:val="24"/>
          <w:bdr w:val="none" w:color="auto" w:sz="0" w:space="0"/>
          <w:shd w:val="clear" w:fill="FFFFFF"/>
        </w:rPr>
        <w:t>2020年8月，市市场监管局正式启动规划编制，经前期深入调研，精心组织起草，先后2次征求市级部门、市场监管系统意见建议，召开市场主体、专家、市场监管干部代表3个座谈会听取意见建议，面向社会公开征求意见，严格履行专家评审、规划衔接、公平竞争审查、合法性审查等程序，形成《规划》。《规划》已经市政府常务会审议通过，由市政府批准发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方正黑体_GBK" w:hAnsi="方正黑体_GBK" w:eastAsia="方正黑体_GBK" w:cs="方正黑体_GBK"/>
          <w:i w:val="0"/>
          <w:caps w:val="0"/>
          <w:color w:val="333333"/>
          <w:spacing w:val="0"/>
          <w:sz w:val="24"/>
          <w:szCs w:val="24"/>
          <w:bdr w:val="none" w:color="auto" w:sz="0" w:space="0"/>
          <w:shd w:val="clear" w:fill="FFFFFF"/>
        </w:rPr>
        <w:t>三、主要内容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宋体" w:hAnsi="宋体" w:eastAsia="宋体" w:cs="宋体"/>
          <w:i w:val="0"/>
          <w:caps w:val="0"/>
          <w:color w:val="333333"/>
          <w:spacing w:val="0"/>
          <w:sz w:val="24"/>
          <w:szCs w:val="24"/>
          <w:bdr w:val="none" w:color="auto" w:sz="0" w:space="0"/>
          <w:shd w:val="clear" w:fill="FFFFFF"/>
        </w:rPr>
        <w:t>（一）总体框架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宋体" w:hAnsi="宋体" w:eastAsia="宋体" w:cs="宋体"/>
          <w:i w:val="0"/>
          <w:caps w:val="0"/>
          <w:color w:val="333333"/>
          <w:spacing w:val="0"/>
          <w:sz w:val="24"/>
          <w:szCs w:val="24"/>
          <w:bdr w:val="none" w:color="auto" w:sz="0" w:space="0"/>
          <w:shd w:val="clear" w:fill="FFFFFF"/>
        </w:rPr>
        <w:t>《规划》正文分为八个部分，附件是重大项目。第一部分总结发展基础，分析形势要求，明确指导思想、基本原则和规划目标。第二至第七部分提出“十四五”期间市场监管重点任务。第八部分明确加强规划实施的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宋体" w:hAnsi="宋体" w:eastAsia="宋体" w:cs="宋体"/>
          <w:i w:val="0"/>
          <w:caps w:val="0"/>
          <w:color w:val="333333"/>
          <w:spacing w:val="0"/>
          <w:sz w:val="24"/>
          <w:szCs w:val="24"/>
          <w:bdr w:val="none" w:color="auto" w:sz="0" w:space="0"/>
          <w:shd w:val="clear" w:fill="FFFFFF"/>
        </w:rPr>
        <w:t>（二）主要目标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宋体" w:hAnsi="宋体" w:eastAsia="宋体" w:cs="宋体"/>
          <w:i w:val="0"/>
          <w:caps w:val="0"/>
          <w:color w:val="333333"/>
          <w:spacing w:val="0"/>
          <w:sz w:val="24"/>
          <w:szCs w:val="24"/>
          <w:bdr w:val="none" w:color="auto" w:sz="0" w:space="0"/>
          <w:shd w:val="clear" w:fill="FFFFFF"/>
        </w:rPr>
        <w:t>《规划》提出，到2025年，重庆统一、权威、高效的市场监管体制逐渐定型，与加强超大城市治理相适应的现代化市场监管体系更加完善，市场自律、政府监管、社会监督互为支撑的协同治理格局加快形成，高标准市场体系基本建成，成渝地区双城经济圈市场一体化水平明显提高，市场监管促进高质量发展高品质生活和服务重大战略实施的作用显著增强，实现营商环境迈向一流、市场活力竞相迸发、质量强市创新突破、安全形势稳固向好、监管效能显著提升。重点提出市场环境、质量提升、市场安全、科技支撑等4个方面21项量化指标。其中，预期性18项、约束性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caps w:val="0"/>
          <w:color w:val="333333"/>
          <w:spacing w:val="0"/>
          <w:sz w:val="24"/>
          <w:szCs w:val="24"/>
          <w:bdr w:val="none" w:color="auto" w:sz="0" w:space="0"/>
          <w:shd w:val="clear" w:fill="FFFFFF"/>
        </w:rPr>
        <w:t>市场监管现代化“十四五”主要指标</w:t>
      </w:r>
    </w:p>
    <w:tbl>
      <w:tblPr>
        <w:tblW w:w="8865" w:type="dxa"/>
        <w:jc w:val="center"/>
        <w:tblInd w:w="-193"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24"/>
        <w:gridCol w:w="5189"/>
        <w:gridCol w:w="819"/>
        <w:gridCol w:w="819"/>
        <w:gridCol w:w="151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26" w:hRule="atLeast"/>
          <w:tblHeader/>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序号</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指 标 名 称</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2020年</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2025年</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属性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8865" w:type="dxa"/>
            <w:gridSpan w:val="5"/>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一、市场环境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市场主体总量（万户）</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300</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400</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2</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千人拥有企业数量（户）</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28.9</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42.4</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3</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每万人口高价值发明专利拥有量（件）</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3.65</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12</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4</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每万户市场主体有效注册商标量（件）</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2025</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2100</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5</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一般事项“双随机、一公开”抽查比例（%）</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3</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5</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8865" w:type="dxa"/>
            <w:gridSpan w:val="5"/>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二、质量提升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6</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制造业质量竞争力指数（分）</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85</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87</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7</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制造业产品质量合格率（%）</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93</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94</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8</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公共服务质量满意度（分）</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81</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82</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9</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新增社会公用计量标准（项）</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140</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10</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新发布地方标准（项）</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500</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8865" w:type="dxa"/>
            <w:gridSpan w:val="5"/>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三、市场安全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11</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食品和农产品抽检量（批次/千人）</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4</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＞4</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约束性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12</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食品评价性抽检合格率（%）</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98</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＞98</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13</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食品安全满意度（分）</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80</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82</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14</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国家食品安全示范城市（个）</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5</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15</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药品抽检合格率（%）</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98</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＞98</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16</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万台特种设备事故死亡率</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0.1</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约束性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17</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消费投诉按期办结率（%）</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90</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95</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约束性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8865" w:type="dxa"/>
            <w:gridSpan w:val="5"/>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四、科技支撑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18</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智慧监管应用场景（个）</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2</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14</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19</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新建国家质检中心、重点实验室、技术创新中心（个）</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5</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20</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新建产业计量测试中心（个）</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8</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26"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21</w:t>
            </w:r>
          </w:p>
        </w:tc>
        <w:tc>
          <w:tcPr>
            <w:tcW w:w="518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质量基础设施“一站式”服务平台（个）</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5</w:t>
            </w:r>
          </w:p>
        </w:tc>
        <w:tc>
          <w:tcPr>
            <w:tcW w:w="819"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60</w:t>
            </w:r>
          </w:p>
        </w:tc>
        <w:tc>
          <w:tcPr>
            <w:tcW w:w="1514" w:type="dxa"/>
            <w:tcBorders>
              <w:top w:val="single" w:color="000000" w:sz="6" w:space="0"/>
              <w:left w:val="single" w:color="000000" w:sz="6" w:space="0"/>
              <w:bottom w:val="single" w:color="000000" w:sz="6" w:space="0"/>
              <w:right w:val="single" w:color="000000" w:sz="6" w:space="0"/>
            </w:tcBorders>
            <w:shd w:val="clear"/>
            <w:tcMar>
              <w:left w:w="86" w:type="dxa"/>
              <w:right w:w="8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olor w:val="333333"/>
                <w:sz w:val="24"/>
                <w:szCs w:val="24"/>
                <w:bdr w:val="none" w:color="auto" w:sz="0" w:space="0"/>
              </w:rPr>
              <w:t>预期性</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宋体" w:hAnsi="宋体" w:eastAsia="宋体" w:cs="宋体"/>
          <w:i w:val="0"/>
          <w:caps w:val="0"/>
          <w:color w:val="333333"/>
          <w:spacing w:val="0"/>
          <w:sz w:val="24"/>
          <w:szCs w:val="24"/>
          <w:bdr w:val="none" w:color="auto" w:sz="0" w:space="0"/>
          <w:shd w:val="clear" w:fill="FFFFFF"/>
        </w:rPr>
        <w:t>（三）重点任务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宋体" w:hAnsi="宋体" w:eastAsia="宋体" w:cs="宋体"/>
          <w:i w:val="0"/>
          <w:caps w:val="0"/>
          <w:color w:val="333333"/>
          <w:spacing w:val="0"/>
          <w:sz w:val="24"/>
          <w:szCs w:val="24"/>
          <w:bdr w:val="none" w:color="auto" w:sz="0" w:space="0"/>
          <w:shd w:val="clear" w:fill="FFFFFF"/>
        </w:rPr>
        <w:t>1．优化营商环境，激发市场活力。深化商事制度改革，促进市场公平竞争，建设市场秩序新生态。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宋体" w:hAnsi="宋体" w:eastAsia="宋体" w:cs="宋体"/>
          <w:i w:val="0"/>
          <w:caps w:val="0"/>
          <w:color w:val="333333"/>
          <w:spacing w:val="0"/>
          <w:sz w:val="24"/>
          <w:szCs w:val="24"/>
          <w:bdr w:val="none" w:color="auto" w:sz="0" w:space="0"/>
          <w:shd w:val="clear" w:fill="FFFFFF"/>
        </w:rPr>
        <w:t>2．统筹发展和安全，服务高质量发展高品质生活。筑牢安全底线和健康红线，加快建设质量强市、知识产权强市，服务产业高质量发展。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宋体" w:hAnsi="宋体" w:eastAsia="宋体" w:cs="宋体"/>
          <w:i w:val="0"/>
          <w:caps w:val="0"/>
          <w:color w:val="333333"/>
          <w:spacing w:val="0"/>
          <w:sz w:val="24"/>
          <w:szCs w:val="24"/>
          <w:bdr w:val="none" w:color="auto" w:sz="0" w:space="0"/>
          <w:shd w:val="clear" w:fill="FFFFFF"/>
        </w:rPr>
        <w:t>3．加强消费者权益保护，助力国际消费中心城市建设。提升消费服务质量，健全消费维权机制，完善消费者权益保护制度。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宋体" w:hAnsi="宋体" w:eastAsia="宋体" w:cs="宋体"/>
          <w:i w:val="0"/>
          <w:caps w:val="0"/>
          <w:color w:val="333333"/>
          <w:spacing w:val="0"/>
          <w:sz w:val="24"/>
          <w:szCs w:val="24"/>
          <w:bdr w:val="none" w:color="auto" w:sz="0" w:space="0"/>
          <w:shd w:val="clear" w:fill="FFFFFF"/>
        </w:rPr>
        <w:t>4．深化区域协同，推动成渝地区市场一体化监管。共建统一市场体系，共优一流营商环境。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宋体" w:hAnsi="宋体" w:eastAsia="宋体" w:cs="宋体"/>
          <w:i w:val="0"/>
          <w:caps w:val="0"/>
          <w:color w:val="333333"/>
          <w:spacing w:val="0"/>
          <w:sz w:val="24"/>
          <w:szCs w:val="24"/>
          <w:bdr w:val="none" w:color="auto" w:sz="0" w:space="0"/>
          <w:shd w:val="clear" w:fill="FFFFFF"/>
        </w:rPr>
        <w:t>5．创新监管理念方法，提升市场监管效能。强化依法监管，深化“双随机、一公开”监管，强化信用监管，创新包容审慎监管，构建多元共治格局，加强综合行政执法。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宋体" w:hAnsi="宋体" w:eastAsia="宋体" w:cs="宋体"/>
          <w:i w:val="0"/>
          <w:caps w:val="0"/>
          <w:color w:val="333333"/>
          <w:spacing w:val="0"/>
          <w:sz w:val="24"/>
          <w:szCs w:val="24"/>
          <w:bdr w:val="none" w:color="auto" w:sz="0" w:space="0"/>
          <w:shd w:val="clear" w:fill="FFFFFF"/>
        </w:rPr>
        <w:t>6．增强科创引领，深化智慧监管。推动科技赋能，加强技术支撑，强化智慧监管。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宋体" w:hAnsi="宋体" w:eastAsia="宋体" w:cs="宋体"/>
          <w:i w:val="0"/>
          <w:caps w:val="0"/>
          <w:color w:val="333333"/>
          <w:spacing w:val="0"/>
          <w:sz w:val="24"/>
          <w:szCs w:val="24"/>
          <w:bdr w:val="none" w:color="auto" w:sz="0" w:space="0"/>
          <w:shd w:val="clear" w:fill="FFFFFF"/>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宋体" w:hAnsi="宋体" w:eastAsia="宋体" w:cs="宋体"/>
          <w:i w:val="0"/>
          <w:caps w:val="0"/>
          <w:color w:val="333333"/>
          <w:spacing w:val="0"/>
          <w:sz w:val="24"/>
          <w:szCs w:val="24"/>
          <w:bdr w:val="none" w:color="auto" w:sz="0" w:space="0"/>
          <w:shd w:val="clear" w:fill="FFFFFF"/>
        </w:rPr>
        <w:t>为保障《规划》实施，明确加强党的领导、文化引领、人才队伍建设、要素保障、宣传引导、监测评估等保持措施。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宋体" w:hAnsi="宋体" w:eastAsia="宋体" w:cs="宋体"/>
          <w:i w:val="0"/>
          <w:caps w:val="0"/>
          <w:color w:val="333333"/>
          <w:spacing w:val="0"/>
          <w:sz w:val="24"/>
          <w:szCs w:val="24"/>
          <w:bdr w:val="none" w:color="auto" w:sz="0" w:space="0"/>
          <w:shd w:val="clear" w:fill="FFFFFF"/>
        </w:rPr>
        <w:t>（五）项目安排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eastAsia" w:eastAsia="宋体"/>
          <w:lang w:eastAsia="zh-CN"/>
        </w:rPr>
      </w:pPr>
      <w:r>
        <w:rPr>
          <w:rFonts w:hint="eastAsia" w:ascii="宋体" w:hAnsi="宋体" w:eastAsia="宋体" w:cs="宋体"/>
          <w:i w:val="0"/>
          <w:caps w:val="0"/>
          <w:color w:val="333333"/>
          <w:spacing w:val="0"/>
          <w:sz w:val="24"/>
          <w:szCs w:val="24"/>
          <w:bdr w:val="none" w:color="auto" w:sz="0" w:space="0"/>
          <w:shd w:val="clear" w:fill="FFFFFF"/>
        </w:rPr>
        <w:t>《规划》对“十四五”期间重大项目作出安排，明确建设国家质检基地（二期）、国家食品药品检测基地、智慧市场监管一体化平台、中国（重庆）知识产权保护中心、重庆知识产权运营中心</w:t>
      </w:r>
      <w:r>
        <w:rPr>
          <w:rFonts w:hint="eastAsia" w:ascii="宋体" w:hAnsi="宋体" w:eastAsia="宋体" w:cs="宋体"/>
          <w:i w:val="0"/>
          <w:caps w:val="0"/>
          <w:color w:val="333333"/>
          <w:spacing w:val="0"/>
          <w:sz w:val="24"/>
          <w:szCs w:val="24"/>
          <w:bdr w:val="none" w:color="auto" w:sz="0" w:space="0"/>
          <w:shd w:val="clear" w:fill="FFFFFF"/>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D0EB8"/>
    <w:rsid w:val="343D0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2022-04-20T08:52:00Z</dcterms:created>
  <dc:creator>Administrator</dc:creator>
  <cp:lastModifiedBy>Administrator</cp:lastModifiedBy>
  <dcterms:modified xsi:type="dcterms:W3CDTF">2022-04-20T08:53:30Z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