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w:t>
      </w:r>
      <w:r>
        <w:rPr>
          <w:rFonts w:hint="eastAsia" w:ascii="方正小标宋简体" w:hAnsi="仿宋" w:eastAsia="方正小标宋简体" w:cs="方正仿宋简体"/>
          <w:color w:val="000000"/>
          <w:sz w:val="32"/>
          <w:szCs w:val="32"/>
          <w:lang w:val="en-US" w:eastAsia="zh-CN"/>
        </w:rPr>
        <w:t>大渡口区</w:t>
      </w:r>
      <w:r>
        <w:rPr>
          <w:rFonts w:hint="eastAsia" w:ascii="方正小标宋简体" w:hAnsi="仿宋" w:eastAsia="方正小标宋简体" w:cs="方正仿宋简体"/>
          <w:color w:val="000000"/>
          <w:sz w:val="32"/>
          <w:szCs w:val="32"/>
        </w:rPr>
        <w:t>玩具滑板车产品质量监督抽查</w:t>
      </w:r>
    </w:p>
    <w:p>
      <w:pPr>
        <w:snapToGrid w:val="0"/>
        <w:spacing w:line="360" w:lineRule="auto"/>
        <w:jc w:val="center"/>
        <w:rPr>
          <w:rFonts w:ascii="宋体" w:hAnsi="宋体"/>
          <w:color w:val="000000"/>
          <w:szCs w:val="21"/>
        </w:rPr>
      </w:pPr>
      <w:r>
        <w:rPr>
          <w:rFonts w:hint="eastAsia" w:ascii="方正小标宋简体" w:hAnsi="仿宋" w:eastAsia="方正小标宋简体" w:cs="方正仿宋简体"/>
          <w:color w:val="000000"/>
          <w:sz w:val="32"/>
          <w:szCs w:val="32"/>
        </w:rPr>
        <w:t>实施细则（2022年）</w:t>
      </w: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szCs w:val="21"/>
        </w:rPr>
        <w:t>在生产者、销售者的待销产品中随机抽取有产品质量检验合格证明或者以其他形式表明合格的、近期生产的产品</w:t>
      </w:r>
      <w:r>
        <w:rPr>
          <w:rFonts w:hint="eastAsia" w:ascii="宋体" w:hAnsi="宋体"/>
          <w:color w:val="000000"/>
          <w:szCs w:val="21"/>
        </w:rPr>
        <w:t>。</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szCs w:val="21"/>
        </w:rPr>
      </w:pPr>
      <w:r>
        <w:rPr>
          <w:rFonts w:hint="eastAsia" w:ascii="宋体" w:hAnsi="宋体"/>
          <w:szCs w:val="21"/>
        </w:rPr>
        <w:t>同一生产者按照同一标准生产的同一商标、同一规格型号的产品抽取样品2辆，其中1辆作为检验样品，1辆作为备用样品。</w:t>
      </w:r>
    </w:p>
    <w:p>
      <w:pPr>
        <w:snapToGrid w:val="0"/>
        <w:spacing w:line="440" w:lineRule="exact"/>
        <w:ind w:firstLine="420" w:firstLineChars="200"/>
        <w:rPr>
          <w:rFonts w:ascii="宋体" w:hAnsi="宋体"/>
          <w:szCs w:val="21"/>
        </w:rPr>
      </w:pPr>
      <w:r>
        <w:rPr>
          <w:rFonts w:hint="eastAsia" w:ascii="宋体" w:hAnsi="宋体"/>
          <w:szCs w:val="21"/>
        </w:rPr>
        <w:t>随机数抽样，随机数一般可使用随机数表、随机数骰子或扑克牌等方法产生。</w:t>
      </w:r>
    </w:p>
    <w:p>
      <w:pPr>
        <w:snapToGrid w:val="0"/>
        <w:spacing w:line="440" w:lineRule="exact"/>
        <w:ind w:firstLine="420" w:firstLineChars="200"/>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jc w:val="center"/>
        <w:rPr>
          <w:color w:val="000000"/>
          <w:szCs w:val="21"/>
        </w:rPr>
      </w:pPr>
      <w:r>
        <w:rPr>
          <w:rFonts w:hAnsi="宋体"/>
          <w:color w:val="000000"/>
          <w:szCs w:val="21"/>
        </w:rPr>
        <w:t>表</w:t>
      </w:r>
      <w:r>
        <w:rPr>
          <w:rFonts w:hint="eastAsia"/>
          <w:color w:val="000000"/>
          <w:szCs w:val="21"/>
        </w:rPr>
        <w:t xml:space="preserve">1 </w:t>
      </w:r>
      <w:r>
        <w:rPr>
          <w:rFonts w:hAnsi="宋体"/>
          <w:color w:val="000000"/>
          <w:szCs w:val="21"/>
        </w:rPr>
        <w:t>检验项目</w:t>
      </w:r>
    </w:p>
    <w:tbl>
      <w:tblPr>
        <w:tblStyle w:val="7"/>
        <w:tblW w:w="9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1"/>
        <w:gridCol w:w="2979"/>
        <w:gridCol w:w="2555"/>
        <w:gridCol w:w="2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671" w:type="dxa"/>
            <w:vAlign w:val="center"/>
          </w:tcPr>
          <w:p>
            <w:pPr>
              <w:snapToGrid w:val="0"/>
              <w:spacing w:line="440" w:lineRule="exact"/>
              <w:jc w:val="center"/>
              <w:rPr>
                <w:color w:val="000000"/>
                <w:szCs w:val="21"/>
              </w:rPr>
            </w:pPr>
            <w:r>
              <w:rPr>
                <w:rFonts w:hAnsi="宋体"/>
                <w:color w:val="000000"/>
                <w:szCs w:val="21"/>
              </w:rPr>
              <w:t>序号</w:t>
            </w:r>
          </w:p>
        </w:tc>
        <w:tc>
          <w:tcPr>
            <w:tcW w:w="2979" w:type="dxa"/>
            <w:vAlign w:val="center"/>
          </w:tcPr>
          <w:p>
            <w:pPr>
              <w:snapToGrid w:val="0"/>
              <w:spacing w:line="440" w:lineRule="exact"/>
              <w:jc w:val="center"/>
              <w:rPr>
                <w:color w:val="000000"/>
                <w:szCs w:val="21"/>
              </w:rPr>
            </w:pPr>
            <w:r>
              <w:rPr>
                <w:rFonts w:hAnsi="宋体"/>
                <w:color w:val="000000"/>
                <w:szCs w:val="21"/>
              </w:rPr>
              <w:t>检验项目</w:t>
            </w:r>
          </w:p>
        </w:tc>
        <w:tc>
          <w:tcPr>
            <w:tcW w:w="2555" w:type="dxa"/>
            <w:vAlign w:val="center"/>
          </w:tcPr>
          <w:p>
            <w:pPr>
              <w:snapToGrid w:val="0"/>
              <w:spacing w:line="440" w:lineRule="exact"/>
              <w:jc w:val="center"/>
              <w:rPr>
                <w:color w:val="000000"/>
                <w:szCs w:val="21"/>
              </w:rPr>
            </w:pPr>
            <w:r>
              <w:rPr>
                <w:rFonts w:hint="eastAsia" w:hAnsi="宋体"/>
                <w:color w:val="000000"/>
                <w:szCs w:val="21"/>
              </w:rPr>
              <w:t>判定依据</w:t>
            </w:r>
          </w:p>
        </w:tc>
        <w:tc>
          <w:tcPr>
            <w:tcW w:w="2968" w:type="dxa"/>
            <w:vAlign w:val="center"/>
          </w:tcPr>
          <w:p>
            <w:pPr>
              <w:snapToGrid w:val="0"/>
              <w:spacing w:line="440" w:lineRule="exact"/>
              <w:jc w:val="center"/>
              <w:rPr>
                <w:color w:val="000000"/>
                <w:szCs w:val="21"/>
              </w:rPr>
            </w:pPr>
            <w:r>
              <w:rPr>
                <w:rFonts w:hAnsi="宋体"/>
                <w:color w:val="000000"/>
                <w:szCs w:val="21"/>
              </w:rPr>
              <w:t>检</w:t>
            </w:r>
            <w:r>
              <w:rPr>
                <w:rFonts w:hint="eastAsia" w:hAnsi="宋体"/>
                <w:color w:val="000000"/>
                <w:szCs w:val="21"/>
              </w:rPr>
              <w:t>验</w:t>
            </w:r>
            <w:r>
              <w:rPr>
                <w:rFonts w:hAnsi="宋体"/>
                <w:color w:val="000000"/>
                <w:szCs w:val="21"/>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671" w:type="dxa"/>
            <w:vAlign w:val="center"/>
          </w:tcPr>
          <w:p>
            <w:pPr>
              <w:snapToGrid w:val="0"/>
              <w:spacing w:line="440" w:lineRule="exact"/>
              <w:jc w:val="center"/>
              <w:rPr>
                <w:color w:val="000000"/>
                <w:szCs w:val="21"/>
              </w:rPr>
            </w:pPr>
            <w:r>
              <w:rPr>
                <w:color w:val="000000"/>
                <w:szCs w:val="21"/>
              </w:rPr>
              <w:t>1</w:t>
            </w:r>
          </w:p>
        </w:tc>
        <w:tc>
          <w:tcPr>
            <w:tcW w:w="2979" w:type="dxa"/>
            <w:vAlign w:val="center"/>
          </w:tcPr>
          <w:p>
            <w:pPr>
              <w:widowControl/>
              <w:jc w:val="center"/>
              <w:textAlignment w:val="center"/>
              <w:rPr>
                <w:color w:val="000000"/>
                <w:szCs w:val="21"/>
              </w:rPr>
            </w:pPr>
            <w:r>
              <w:rPr>
                <w:rFonts w:hint="eastAsia" w:ascii="宋体" w:hAnsi="宋体" w:cs="宋体"/>
                <w:color w:val="auto"/>
                <w:sz w:val="21"/>
                <w:szCs w:val="21"/>
              </w:rPr>
              <w:t>正常使用</w:t>
            </w:r>
          </w:p>
        </w:tc>
        <w:tc>
          <w:tcPr>
            <w:tcW w:w="2555" w:type="dxa"/>
            <w:vAlign w:val="center"/>
          </w:tcPr>
          <w:p>
            <w:pPr>
              <w:snapToGrid w:val="0"/>
              <w:spacing w:line="440" w:lineRule="exact"/>
              <w:jc w:val="center"/>
              <w:rPr>
                <w:rFonts w:hint="default" w:eastAsia="宋体"/>
                <w:color w:val="000000"/>
                <w:szCs w:val="21"/>
                <w:lang w:val="en-US" w:eastAsia="zh-CN"/>
              </w:rPr>
            </w:pPr>
            <w:r>
              <w:rPr>
                <w:szCs w:val="21"/>
              </w:rPr>
              <w:t xml:space="preserve">GB </w:t>
            </w:r>
            <w:r>
              <w:rPr>
                <w:rFonts w:hint="eastAsia"/>
                <w:szCs w:val="21"/>
                <w:lang w:val="en-US" w:eastAsia="zh-CN"/>
              </w:rPr>
              <w:t>6675.12-2014/4.1</w:t>
            </w:r>
          </w:p>
        </w:tc>
        <w:tc>
          <w:tcPr>
            <w:tcW w:w="2968" w:type="dxa"/>
            <w:vAlign w:val="center"/>
          </w:tcPr>
          <w:p>
            <w:pPr>
              <w:snapToGrid w:val="0"/>
              <w:spacing w:line="440" w:lineRule="exact"/>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GB 6675.12-2014/4</w:t>
            </w:r>
          </w:p>
          <w:p>
            <w:pPr>
              <w:snapToGrid w:val="0"/>
              <w:spacing w:line="440" w:lineRule="exact"/>
              <w:jc w:val="center"/>
              <w:rPr>
                <w:rFonts w:hint="default"/>
                <w:color w:val="000000"/>
                <w:szCs w:val="21"/>
                <w:lang w:val="en-US"/>
              </w:rPr>
            </w:pPr>
            <w:r>
              <w:rPr>
                <w:rFonts w:hint="eastAsia" w:ascii="Times New Roman" w:hAnsi="Times New Roman" w:cs="Times New Roman"/>
                <w:szCs w:val="21"/>
                <w:lang w:val="en-US" w:eastAsia="zh-CN"/>
              </w:rPr>
              <w:t>GB 6675.2-2014</w:t>
            </w:r>
            <w:r>
              <w:rPr>
                <w:rFonts w:hint="eastAsia" w:cs="Times New Roman"/>
                <w:szCs w:val="21"/>
                <w:lang w:val="en-US" w:eastAsia="zh-CN"/>
              </w:rPr>
              <w:t xml:space="preserve">/4.1、E2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671" w:type="dxa"/>
            <w:vAlign w:val="center"/>
          </w:tcPr>
          <w:p>
            <w:pPr>
              <w:snapToGrid w:val="0"/>
              <w:spacing w:line="440" w:lineRule="exact"/>
              <w:jc w:val="center"/>
              <w:rPr>
                <w:color w:val="000000"/>
                <w:szCs w:val="21"/>
              </w:rPr>
            </w:pPr>
            <w:r>
              <w:rPr>
                <w:color w:val="000000"/>
                <w:szCs w:val="21"/>
              </w:rPr>
              <w:t>2</w:t>
            </w:r>
          </w:p>
        </w:tc>
        <w:tc>
          <w:tcPr>
            <w:tcW w:w="2979" w:type="dxa"/>
            <w:vAlign w:val="center"/>
          </w:tcPr>
          <w:p>
            <w:pPr>
              <w:widowControl/>
              <w:jc w:val="center"/>
              <w:textAlignment w:val="center"/>
              <w:rPr>
                <w:rFonts w:ascii="Times New Roman"/>
                <w:color w:val="000000"/>
                <w:kern w:val="2"/>
                <w:szCs w:val="21"/>
              </w:rPr>
            </w:pPr>
            <w:r>
              <w:rPr>
                <w:rFonts w:hint="eastAsia" w:ascii="宋体" w:hAnsi="宋体" w:cs="宋体"/>
                <w:color w:val="auto"/>
                <w:sz w:val="21"/>
                <w:szCs w:val="21"/>
              </w:rPr>
              <w:t>可预见的合理滥用</w:t>
            </w:r>
          </w:p>
        </w:tc>
        <w:tc>
          <w:tcPr>
            <w:tcW w:w="2555" w:type="dxa"/>
            <w:vAlign w:val="center"/>
          </w:tcPr>
          <w:p>
            <w:pPr>
              <w:pStyle w:val="18"/>
              <w:snapToGrid w:val="0"/>
              <w:spacing w:line="440" w:lineRule="exact"/>
              <w:ind w:firstLine="0" w:firstLineChars="0"/>
              <w:jc w:val="center"/>
              <w:rPr>
                <w:rFonts w:hint="default" w:ascii="Times New Roman"/>
                <w:color w:val="auto"/>
                <w:kern w:val="2"/>
                <w:szCs w:val="21"/>
                <w:highlight w:val="none"/>
                <w:lang w:val="en-US"/>
              </w:rPr>
            </w:pPr>
            <w:r>
              <w:rPr>
                <w:rFonts w:hint="eastAsia" w:ascii="Times New Roman" w:hAnsi="Times New Roman" w:eastAsia="宋体" w:cs="Times New Roman"/>
                <w:color w:val="auto"/>
                <w:kern w:val="2"/>
                <w:sz w:val="21"/>
                <w:szCs w:val="21"/>
                <w:highlight w:val="none"/>
                <w:lang w:val="en-US" w:eastAsia="zh-CN" w:bidi="ar-SA"/>
              </w:rPr>
              <w:t>GB 6675.12-2014/4.</w:t>
            </w:r>
            <w:r>
              <w:rPr>
                <w:rFonts w:hint="eastAsia" w:ascii="Times New Roman" w:hAnsi="Times New Roman" w:cs="Times New Roman"/>
                <w:color w:val="auto"/>
                <w:kern w:val="2"/>
                <w:sz w:val="21"/>
                <w:szCs w:val="21"/>
                <w:highlight w:val="none"/>
                <w:lang w:val="en-US" w:eastAsia="zh-CN" w:bidi="ar-SA"/>
              </w:rPr>
              <w:t>2</w:t>
            </w:r>
          </w:p>
        </w:tc>
        <w:tc>
          <w:tcPr>
            <w:tcW w:w="2968" w:type="dxa"/>
            <w:vAlign w:val="center"/>
          </w:tcPr>
          <w:p>
            <w:pPr>
              <w:pStyle w:val="18"/>
              <w:snapToGrid w:val="0"/>
              <w:spacing w:line="440" w:lineRule="exact"/>
              <w:ind w:firstLine="199" w:firstLineChars="95"/>
              <w:jc w:val="center"/>
              <w:rPr>
                <w:rFonts w:hint="default" w:ascii="Times New Roman"/>
                <w:color w:val="auto"/>
                <w:kern w:val="2"/>
                <w:szCs w:val="21"/>
                <w:highlight w:val="none"/>
                <w:lang w:val="en-US"/>
              </w:rPr>
            </w:pPr>
            <w:r>
              <w:rPr>
                <w:rFonts w:hint="eastAsia" w:ascii="Times New Roman" w:hAnsi="Times New Roman" w:cs="Times New Roman"/>
                <w:color w:val="auto"/>
                <w:szCs w:val="21"/>
                <w:highlight w:val="none"/>
                <w:lang w:val="en-US" w:eastAsia="zh-CN"/>
              </w:rPr>
              <w:t>GB 6675.2-2014/5.24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671" w:type="dxa"/>
            <w:vAlign w:val="center"/>
          </w:tcPr>
          <w:p>
            <w:pPr>
              <w:snapToGrid w:val="0"/>
              <w:spacing w:line="440" w:lineRule="exact"/>
              <w:jc w:val="center"/>
              <w:rPr>
                <w:color w:val="000000"/>
                <w:szCs w:val="21"/>
              </w:rPr>
            </w:pPr>
            <w:r>
              <w:rPr>
                <w:color w:val="000000"/>
                <w:szCs w:val="21"/>
              </w:rPr>
              <w:t>3</w:t>
            </w:r>
          </w:p>
        </w:tc>
        <w:tc>
          <w:tcPr>
            <w:tcW w:w="2979"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材料质量</w:t>
            </w:r>
          </w:p>
        </w:tc>
        <w:tc>
          <w:tcPr>
            <w:tcW w:w="2555" w:type="dxa"/>
            <w:vAlign w:val="center"/>
          </w:tcPr>
          <w:p>
            <w:pPr>
              <w:snapToGrid w:val="0"/>
              <w:spacing w:line="440" w:lineRule="exact"/>
              <w:jc w:val="center"/>
              <w:rPr>
                <w:rFonts w:hint="default" w:ascii="Times New Roman" w:hAnsi="Times New Roman" w:cs="Times New Roman"/>
                <w:color w:val="auto"/>
                <w:szCs w:val="21"/>
                <w:highlight w:val="none"/>
                <w:lang w:val="en-US" w:eastAsia="zh-CN"/>
              </w:rPr>
            </w:pPr>
            <w:r>
              <w:rPr>
                <w:rFonts w:hint="eastAsia" w:ascii="Times New Roman" w:hAnsi="Times New Roman" w:cs="Times New Roman"/>
                <w:color w:val="auto"/>
                <w:szCs w:val="21"/>
                <w:highlight w:val="none"/>
                <w:lang w:val="en-US" w:eastAsia="zh-CN"/>
              </w:rPr>
              <w:t>GB 6675.12-2014/4.3.1</w:t>
            </w:r>
          </w:p>
        </w:tc>
        <w:tc>
          <w:tcPr>
            <w:tcW w:w="2968" w:type="dxa"/>
            <w:vAlign w:val="center"/>
          </w:tcPr>
          <w:p>
            <w:pPr>
              <w:snapToGrid w:val="0"/>
              <w:spacing w:line="440" w:lineRule="exact"/>
              <w:jc w:val="center"/>
              <w:rPr>
                <w:rFonts w:hint="default" w:ascii="Times New Roman" w:hAnsi="Times New Roman" w:cs="Times New Roman"/>
                <w:color w:val="auto"/>
                <w:szCs w:val="21"/>
                <w:highlight w:val="none"/>
                <w:lang w:val="en-US" w:eastAsia="zh-CN"/>
              </w:rPr>
            </w:pPr>
            <w:r>
              <w:rPr>
                <w:rFonts w:hint="eastAsia" w:ascii="Times New Roman" w:hAnsi="Times New Roman" w:cs="Times New Roman"/>
                <w:color w:val="auto"/>
                <w:szCs w:val="21"/>
                <w:highlight w:val="none"/>
                <w:lang w:val="en-US" w:eastAsia="zh-CN"/>
              </w:rPr>
              <w:t>GB 6675.12-2014/4.3.1（目视）</w:t>
            </w:r>
            <w:r>
              <w:rPr>
                <w:rFonts w:hint="eastAsia" w:ascii="Times New Roman" w:hAnsi="Times New Roman" w:cs="Times New Roman"/>
                <w:color w:val="auto"/>
                <w:szCs w:val="21"/>
                <w:highlight w:val="none"/>
                <w:lang w:val="en-US" w:eastAsia="zh-CN"/>
              </w:rPr>
              <w:br w:type="textWrapping"/>
            </w:r>
            <w:r>
              <w:rPr>
                <w:rFonts w:hint="eastAsia" w:ascii="Times New Roman" w:hAnsi="Times New Roman" w:cs="Times New Roman"/>
                <w:color w:val="auto"/>
                <w:szCs w:val="21"/>
                <w:highlight w:val="none"/>
                <w:lang w:val="en-US" w:eastAsia="zh-CN"/>
              </w:rPr>
              <w:t xml:space="preserve">GB 6675.2-2014 </w:t>
            </w:r>
            <w:r>
              <w:rPr>
                <w:rFonts w:hint="eastAsia" w:cs="Times New Roman"/>
                <w:color w:val="auto"/>
                <w:szCs w:val="21"/>
                <w:highlight w:val="none"/>
                <w:lang w:val="en-US" w:eastAsia="zh-CN"/>
              </w:rPr>
              <w:t>/</w:t>
            </w:r>
            <w:r>
              <w:rPr>
                <w:rFonts w:hint="eastAsia" w:ascii="Times New Roman" w:hAnsi="Times New Roman" w:cs="Times New Roman"/>
                <w:color w:val="auto"/>
                <w:szCs w:val="21"/>
                <w:highlight w:val="none"/>
                <w:lang w:val="en-US" w:eastAsia="zh-CN"/>
              </w:rPr>
              <w:t>4.</w:t>
            </w:r>
            <w:r>
              <w:rPr>
                <w:rFonts w:hint="eastAsia" w:cs="Times New Roman"/>
                <w:color w:val="auto"/>
                <w:szCs w:val="21"/>
                <w:highlight w:val="none"/>
                <w:lang w:val="en-US" w:eastAsia="zh-CN"/>
              </w:rPr>
              <w:t>3、</w:t>
            </w:r>
            <w:r>
              <w:rPr>
                <w:rFonts w:hint="eastAsia" w:ascii="Times New Roman" w:hAnsi="Times New Roman" w:cs="Times New Roman"/>
                <w:color w:val="auto"/>
                <w:szCs w:val="21"/>
                <w:highlight w:val="none"/>
                <w:lang w:val="en-US" w:eastAsia="zh-CN"/>
              </w:rPr>
              <w:t>E</w:t>
            </w:r>
            <w:r>
              <w:rPr>
                <w:rFonts w:hint="eastAsia" w:cs="Times New Roman"/>
                <w:color w:val="auto"/>
                <w:szCs w:val="21"/>
                <w:highlight w:val="none"/>
                <w:lang w:val="en-US" w:eastAsia="zh-CN"/>
              </w:rPr>
              <w:t>4、</w:t>
            </w:r>
            <w:r>
              <w:rPr>
                <w:rFonts w:hint="eastAsia" w:ascii="Times New Roman" w:hAnsi="Times New Roman" w:cs="Times New Roman"/>
                <w:color w:val="auto"/>
                <w:szCs w:val="21"/>
                <w:highlight w:val="none"/>
                <w:lang w:val="en-US" w:eastAsia="zh-CN"/>
              </w:rPr>
              <w:t>E</w:t>
            </w:r>
            <w:r>
              <w:rPr>
                <w:rFonts w:hint="eastAsia" w:cs="Times New Roman"/>
                <w:color w:val="auto"/>
                <w:szCs w:val="21"/>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671" w:type="dxa"/>
            <w:vAlign w:val="center"/>
          </w:tcPr>
          <w:p>
            <w:pPr>
              <w:snapToGrid w:val="0"/>
              <w:spacing w:line="440" w:lineRule="exact"/>
              <w:jc w:val="center"/>
              <w:rPr>
                <w:color w:val="000000"/>
                <w:szCs w:val="21"/>
              </w:rPr>
            </w:pPr>
            <w:r>
              <w:rPr>
                <w:color w:val="000000"/>
                <w:szCs w:val="21"/>
              </w:rPr>
              <w:t>4</w:t>
            </w:r>
          </w:p>
        </w:tc>
        <w:tc>
          <w:tcPr>
            <w:tcW w:w="2979"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易燃性能（适用时）</w:t>
            </w:r>
          </w:p>
        </w:tc>
        <w:tc>
          <w:tcPr>
            <w:tcW w:w="2555" w:type="dxa"/>
            <w:vAlign w:val="center"/>
          </w:tcPr>
          <w:p>
            <w:pPr>
              <w:snapToGrid w:val="0"/>
              <w:spacing w:line="440" w:lineRule="exact"/>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GB 6675.12-2014/4.3.2</w:t>
            </w:r>
          </w:p>
          <w:p>
            <w:pPr>
              <w:snapToGrid w:val="0"/>
              <w:spacing w:line="440" w:lineRule="exact"/>
              <w:jc w:val="center"/>
              <w:rPr>
                <w:rFonts w:hint="default" w:ascii="Times New Roman" w:hAnsi="Times New Roman" w:cs="Times New Roman"/>
                <w:szCs w:val="21"/>
                <w:lang w:val="en-US" w:eastAsia="zh-CN"/>
              </w:rPr>
            </w:pPr>
          </w:p>
        </w:tc>
        <w:tc>
          <w:tcPr>
            <w:tcW w:w="2968"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 6675.3-2014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671" w:type="dxa"/>
            <w:vAlign w:val="center"/>
          </w:tcPr>
          <w:p>
            <w:pPr>
              <w:snapToGrid w:val="0"/>
              <w:spacing w:line="440" w:lineRule="exact"/>
              <w:jc w:val="center"/>
              <w:rPr>
                <w:color w:val="000000"/>
                <w:szCs w:val="21"/>
              </w:rPr>
            </w:pPr>
            <w:r>
              <w:rPr>
                <w:color w:val="000000"/>
                <w:szCs w:val="21"/>
              </w:rPr>
              <w:t>5</w:t>
            </w:r>
          </w:p>
        </w:tc>
        <w:tc>
          <w:tcPr>
            <w:tcW w:w="2979"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特定元素的迁移（适用时）</w:t>
            </w:r>
          </w:p>
        </w:tc>
        <w:tc>
          <w:tcPr>
            <w:tcW w:w="2555" w:type="dxa"/>
            <w:vAlign w:val="center"/>
          </w:tcPr>
          <w:p>
            <w:pPr>
              <w:snapToGrid w:val="0"/>
              <w:spacing w:line="440" w:lineRule="exact"/>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GB 6675.12-2014/4.3.3</w:t>
            </w:r>
          </w:p>
          <w:p>
            <w:pPr>
              <w:snapToGrid w:val="0"/>
              <w:spacing w:line="440" w:lineRule="exact"/>
              <w:jc w:val="center"/>
              <w:rPr>
                <w:rFonts w:hint="eastAsia" w:ascii="Times New Roman" w:hAnsi="Times New Roman" w:cs="Times New Roman"/>
                <w:szCs w:val="21"/>
                <w:lang w:val="en-US" w:eastAsia="zh-CN"/>
              </w:rPr>
            </w:pPr>
          </w:p>
        </w:tc>
        <w:tc>
          <w:tcPr>
            <w:tcW w:w="2968"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 6675.4-2014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671" w:type="dxa"/>
            <w:vAlign w:val="center"/>
          </w:tcPr>
          <w:p>
            <w:pPr>
              <w:snapToGrid w:val="0"/>
              <w:spacing w:line="440" w:lineRule="exact"/>
              <w:jc w:val="center"/>
              <w:rPr>
                <w:color w:val="000000"/>
                <w:szCs w:val="21"/>
              </w:rPr>
            </w:pPr>
            <w:r>
              <w:rPr>
                <w:color w:val="000000"/>
                <w:szCs w:val="21"/>
              </w:rPr>
              <w:t>6</w:t>
            </w:r>
          </w:p>
        </w:tc>
        <w:tc>
          <w:tcPr>
            <w:tcW w:w="2979"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小零件</w:t>
            </w:r>
          </w:p>
        </w:tc>
        <w:tc>
          <w:tcPr>
            <w:tcW w:w="2555" w:type="dxa"/>
            <w:vAlign w:val="center"/>
          </w:tcPr>
          <w:p>
            <w:pPr>
              <w:snapToGrid w:val="0"/>
              <w:spacing w:line="440" w:lineRule="exact"/>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GB 6675.12-2014/4.4</w:t>
            </w:r>
          </w:p>
          <w:p>
            <w:pPr>
              <w:snapToGrid w:val="0"/>
              <w:spacing w:line="440" w:lineRule="exact"/>
              <w:jc w:val="center"/>
              <w:rPr>
                <w:rFonts w:hint="default" w:ascii="Times New Roman" w:hAnsi="Times New Roman" w:cs="Times New Roman"/>
                <w:szCs w:val="21"/>
                <w:lang w:val="en-US" w:eastAsia="zh-CN"/>
              </w:rPr>
            </w:pPr>
          </w:p>
        </w:tc>
        <w:tc>
          <w:tcPr>
            <w:tcW w:w="2968"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671" w:type="dxa"/>
            <w:vAlign w:val="center"/>
          </w:tcPr>
          <w:p>
            <w:pPr>
              <w:snapToGrid w:val="0"/>
              <w:spacing w:line="440" w:lineRule="exact"/>
              <w:jc w:val="center"/>
              <w:rPr>
                <w:color w:val="000000"/>
                <w:szCs w:val="21"/>
              </w:rPr>
            </w:pPr>
            <w:r>
              <w:rPr>
                <w:color w:val="000000"/>
                <w:szCs w:val="21"/>
              </w:rPr>
              <w:t>7</w:t>
            </w:r>
          </w:p>
        </w:tc>
        <w:tc>
          <w:tcPr>
            <w:tcW w:w="2979"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边缘</w:t>
            </w:r>
          </w:p>
        </w:tc>
        <w:tc>
          <w:tcPr>
            <w:tcW w:w="2555" w:type="dxa"/>
            <w:vAlign w:val="center"/>
          </w:tcPr>
          <w:p>
            <w:pPr>
              <w:snapToGrid w:val="0"/>
              <w:spacing w:line="440" w:lineRule="exact"/>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GB 6675.12-2014/4.5</w:t>
            </w:r>
          </w:p>
          <w:p>
            <w:pPr>
              <w:snapToGrid w:val="0"/>
              <w:spacing w:line="440" w:lineRule="exact"/>
              <w:jc w:val="center"/>
              <w:rPr>
                <w:rFonts w:hint="eastAsia" w:ascii="Times New Roman" w:hAnsi="Times New Roman" w:cs="Times New Roman"/>
                <w:szCs w:val="21"/>
                <w:lang w:val="en-US" w:eastAsia="zh-CN"/>
              </w:rPr>
            </w:pPr>
          </w:p>
        </w:tc>
        <w:tc>
          <w:tcPr>
            <w:tcW w:w="2968"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671" w:type="dxa"/>
            <w:vAlign w:val="center"/>
          </w:tcPr>
          <w:p>
            <w:pPr>
              <w:snapToGrid w:val="0"/>
              <w:spacing w:line="440" w:lineRule="exact"/>
              <w:jc w:val="center"/>
              <w:rPr>
                <w:color w:val="000000"/>
                <w:szCs w:val="21"/>
              </w:rPr>
            </w:pPr>
            <w:r>
              <w:rPr>
                <w:color w:val="000000"/>
                <w:szCs w:val="21"/>
              </w:rPr>
              <w:t>8</w:t>
            </w:r>
          </w:p>
        </w:tc>
        <w:tc>
          <w:tcPr>
            <w:tcW w:w="2979"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尖端</w:t>
            </w:r>
          </w:p>
        </w:tc>
        <w:tc>
          <w:tcPr>
            <w:tcW w:w="2555" w:type="dxa"/>
            <w:vAlign w:val="center"/>
          </w:tcPr>
          <w:p>
            <w:pPr>
              <w:snapToGrid w:val="0"/>
              <w:spacing w:line="440" w:lineRule="exact"/>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GB 6675.12-2014/4.6</w:t>
            </w:r>
          </w:p>
          <w:p>
            <w:pPr>
              <w:snapToGrid w:val="0"/>
              <w:spacing w:line="440" w:lineRule="exact"/>
              <w:jc w:val="center"/>
              <w:rPr>
                <w:rFonts w:hint="eastAsia" w:ascii="Times New Roman" w:hAnsi="Times New Roman" w:cs="Times New Roman"/>
                <w:szCs w:val="21"/>
                <w:lang w:val="en-US" w:eastAsia="zh-CN"/>
              </w:rPr>
            </w:pPr>
          </w:p>
        </w:tc>
        <w:tc>
          <w:tcPr>
            <w:tcW w:w="2968"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671" w:type="dxa"/>
            <w:vAlign w:val="center"/>
          </w:tcPr>
          <w:p>
            <w:pPr>
              <w:snapToGrid w:val="0"/>
              <w:spacing w:line="440" w:lineRule="exact"/>
              <w:jc w:val="center"/>
              <w:rPr>
                <w:color w:val="000000"/>
                <w:szCs w:val="21"/>
              </w:rPr>
            </w:pPr>
            <w:r>
              <w:rPr>
                <w:color w:val="000000"/>
                <w:szCs w:val="21"/>
              </w:rPr>
              <w:t>9</w:t>
            </w:r>
          </w:p>
        </w:tc>
        <w:tc>
          <w:tcPr>
            <w:tcW w:w="2979"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突出部件</w:t>
            </w:r>
          </w:p>
        </w:tc>
        <w:tc>
          <w:tcPr>
            <w:tcW w:w="2555" w:type="dxa"/>
            <w:vAlign w:val="center"/>
          </w:tcPr>
          <w:p>
            <w:pPr>
              <w:snapToGrid w:val="0"/>
              <w:spacing w:line="440" w:lineRule="exact"/>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GB 6675.12-2014/4.7</w:t>
            </w:r>
          </w:p>
          <w:p>
            <w:pPr>
              <w:snapToGrid w:val="0"/>
              <w:spacing w:line="440" w:lineRule="exact"/>
              <w:jc w:val="center"/>
              <w:rPr>
                <w:rFonts w:hint="eastAsia" w:ascii="Times New Roman" w:hAnsi="Times New Roman" w:cs="Times New Roman"/>
                <w:szCs w:val="21"/>
                <w:lang w:val="en-US" w:eastAsia="zh-CN"/>
              </w:rPr>
            </w:pPr>
          </w:p>
        </w:tc>
        <w:tc>
          <w:tcPr>
            <w:tcW w:w="2968"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671" w:type="dxa"/>
            <w:vAlign w:val="center"/>
          </w:tcPr>
          <w:p>
            <w:pPr>
              <w:snapToGrid w:val="0"/>
              <w:spacing w:line="440" w:lineRule="exact"/>
              <w:jc w:val="center"/>
              <w:rPr>
                <w:color w:val="000000"/>
                <w:szCs w:val="21"/>
              </w:rPr>
            </w:pPr>
            <w:r>
              <w:rPr>
                <w:color w:val="000000"/>
                <w:szCs w:val="21"/>
              </w:rPr>
              <w:t>10</w:t>
            </w:r>
          </w:p>
        </w:tc>
        <w:tc>
          <w:tcPr>
            <w:tcW w:w="2979"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用于包装或玩具中的塑料袋或塑料薄膜（适用时）</w:t>
            </w:r>
          </w:p>
        </w:tc>
        <w:tc>
          <w:tcPr>
            <w:tcW w:w="2555" w:type="dxa"/>
            <w:vAlign w:val="center"/>
          </w:tcPr>
          <w:p>
            <w:pPr>
              <w:snapToGrid w:val="0"/>
              <w:spacing w:line="440" w:lineRule="exact"/>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GB 6675.12-2014/4.8</w:t>
            </w:r>
          </w:p>
          <w:p>
            <w:pPr>
              <w:snapToGrid w:val="0"/>
              <w:spacing w:line="440" w:lineRule="exact"/>
              <w:jc w:val="center"/>
              <w:rPr>
                <w:rFonts w:hint="default" w:ascii="Times New Roman" w:hAnsi="Times New Roman" w:cs="Times New Roman"/>
                <w:szCs w:val="21"/>
                <w:lang w:val="en-US" w:eastAsia="zh-CN"/>
              </w:rPr>
            </w:pPr>
          </w:p>
        </w:tc>
        <w:tc>
          <w:tcPr>
            <w:tcW w:w="2968"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671" w:type="dxa"/>
            <w:vAlign w:val="center"/>
          </w:tcPr>
          <w:p>
            <w:pPr>
              <w:snapToGrid w:val="0"/>
              <w:spacing w:line="440" w:lineRule="exact"/>
              <w:jc w:val="center"/>
              <w:rPr>
                <w:color w:val="000000"/>
                <w:szCs w:val="21"/>
              </w:rPr>
            </w:pPr>
            <w:r>
              <w:rPr>
                <w:color w:val="000000"/>
                <w:szCs w:val="21"/>
              </w:rPr>
              <w:t>11</w:t>
            </w:r>
          </w:p>
        </w:tc>
        <w:tc>
          <w:tcPr>
            <w:tcW w:w="2979"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孔、间隙、机械装置的可触及性（适用时）</w:t>
            </w:r>
          </w:p>
        </w:tc>
        <w:tc>
          <w:tcPr>
            <w:tcW w:w="2555" w:type="dxa"/>
            <w:vAlign w:val="center"/>
          </w:tcPr>
          <w:p>
            <w:pPr>
              <w:snapToGrid w:val="0"/>
              <w:spacing w:line="440" w:lineRule="exact"/>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GB 6675.12-2014/4.9</w:t>
            </w:r>
          </w:p>
          <w:p>
            <w:pPr>
              <w:snapToGrid w:val="0"/>
              <w:spacing w:line="440" w:lineRule="exact"/>
              <w:jc w:val="center"/>
              <w:rPr>
                <w:rFonts w:hint="default" w:ascii="Times New Roman" w:hAnsi="Times New Roman" w:cs="Times New Roman"/>
                <w:szCs w:val="21"/>
                <w:lang w:val="en-US" w:eastAsia="zh-CN"/>
              </w:rPr>
            </w:pPr>
          </w:p>
        </w:tc>
        <w:tc>
          <w:tcPr>
            <w:tcW w:w="2968"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671" w:type="dxa"/>
            <w:vAlign w:val="center"/>
          </w:tcPr>
          <w:p>
            <w:pPr>
              <w:snapToGrid w:val="0"/>
              <w:spacing w:line="440" w:lineRule="exact"/>
              <w:jc w:val="center"/>
              <w:rPr>
                <w:color w:val="000000"/>
                <w:szCs w:val="21"/>
              </w:rPr>
            </w:pPr>
            <w:r>
              <w:rPr>
                <w:color w:val="000000"/>
                <w:szCs w:val="21"/>
              </w:rPr>
              <w:t>12</w:t>
            </w:r>
          </w:p>
        </w:tc>
        <w:tc>
          <w:tcPr>
            <w:tcW w:w="2979"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弹簧（适用时）</w:t>
            </w:r>
          </w:p>
        </w:tc>
        <w:tc>
          <w:tcPr>
            <w:tcW w:w="2555" w:type="dxa"/>
            <w:vAlign w:val="center"/>
          </w:tcPr>
          <w:p>
            <w:pPr>
              <w:snapToGrid w:val="0"/>
              <w:spacing w:line="440" w:lineRule="exact"/>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GB 6675.12-2014/4.10</w:t>
            </w:r>
          </w:p>
          <w:p>
            <w:pPr>
              <w:snapToGrid w:val="0"/>
              <w:spacing w:line="440" w:lineRule="exact"/>
              <w:jc w:val="center"/>
              <w:rPr>
                <w:rFonts w:hint="default" w:ascii="Times New Roman" w:hAnsi="Times New Roman" w:cs="Times New Roman"/>
                <w:szCs w:val="21"/>
                <w:lang w:val="en-US" w:eastAsia="zh-CN"/>
              </w:rPr>
            </w:pPr>
          </w:p>
        </w:tc>
        <w:tc>
          <w:tcPr>
            <w:tcW w:w="2968"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671" w:type="dxa"/>
            <w:vAlign w:val="center"/>
          </w:tcPr>
          <w:p>
            <w:pPr>
              <w:snapToGrid w:val="0"/>
              <w:spacing w:line="440" w:lineRule="exact"/>
              <w:jc w:val="center"/>
              <w:rPr>
                <w:color w:val="000000"/>
                <w:szCs w:val="21"/>
              </w:rPr>
            </w:pPr>
            <w:r>
              <w:rPr>
                <w:color w:val="000000"/>
                <w:szCs w:val="21"/>
              </w:rPr>
              <w:t>13</w:t>
            </w:r>
          </w:p>
        </w:tc>
        <w:tc>
          <w:tcPr>
            <w:tcW w:w="2979"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静态强度</w:t>
            </w:r>
          </w:p>
        </w:tc>
        <w:tc>
          <w:tcPr>
            <w:tcW w:w="2555"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 6675.12-2014/4.11.1</w:t>
            </w:r>
          </w:p>
        </w:tc>
        <w:tc>
          <w:tcPr>
            <w:tcW w:w="2968" w:type="dxa"/>
            <w:vAlign w:val="center"/>
          </w:tcPr>
          <w:p>
            <w:pPr>
              <w:snapToGrid w:val="0"/>
              <w:spacing w:line="440" w:lineRule="exact"/>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GB 6675.12-2014/5.1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671" w:type="dxa"/>
            <w:vAlign w:val="center"/>
          </w:tcPr>
          <w:p>
            <w:pPr>
              <w:snapToGrid w:val="0"/>
              <w:spacing w:line="440" w:lineRule="exact"/>
              <w:jc w:val="center"/>
              <w:rPr>
                <w:color w:val="000000"/>
                <w:szCs w:val="21"/>
              </w:rPr>
            </w:pPr>
            <w:r>
              <w:rPr>
                <w:color w:val="000000"/>
                <w:szCs w:val="21"/>
              </w:rPr>
              <w:t>14</w:t>
            </w:r>
          </w:p>
        </w:tc>
        <w:tc>
          <w:tcPr>
            <w:tcW w:w="2979"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动态强度</w:t>
            </w:r>
          </w:p>
        </w:tc>
        <w:tc>
          <w:tcPr>
            <w:tcW w:w="2555"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 6675.12-2014/4.11.1</w:t>
            </w:r>
          </w:p>
        </w:tc>
        <w:tc>
          <w:tcPr>
            <w:tcW w:w="2968"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 6675.12-2014/5.2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671" w:type="dxa"/>
            <w:vAlign w:val="center"/>
          </w:tcPr>
          <w:p>
            <w:pPr>
              <w:snapToGrid w:val="0"/>
              <w:spacing w:line="440" w:lineRule="exact"/>
              <w:jc w:val="center"/>
              <w:rPr>
                <w:color w:val="000000"/>
                <w:szCs w:val="21"/>
              </w:rPr>
            </w:pPr>
            <w:r>
              <w:rPr>
                <w:color w:val="000000"/>
                <w:szCs w:val="21"/>
              </w:rPr>
              <w:t>15</w:t>
            </w:r>
          </w:p>
        </w:tc>
        <w:tc>
          <w:tcPr>
            <w:tcW w:w="2979"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把立管强度</w:t>
            </w:r>
          </w:p>
        </w:tc>
        <w:tc>
          <w:tcPr>
            <w:tcW w:w="2555"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 6675.12-2014/4.11.2</w:t>
            </w:r>
          </w:p>
        </w:tc>
        <w:tc>
          <w:tcPr>
            <w:tcW w:w="2968"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 6675.12-2014/5.4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6" w:hRule="atLeast"/>
          <w:jc w:val="center"/>
        </w:trPr>
        <w:tc>
          <w:tcPr>
            <w:tcW w:w="671" w:type="dxa"/>
            <w:vAlign w:val="center"/>
          </w:tcPr>
          <w:p>
            <w:pPr>
              <w:snapToGrid w:val="0"/>
              <w:spacing w:line="440" w:lineRule="exact"/>
              <w:jc w:val="center"/>
              <w:rPr>
                <w:color w:val="000000"/>
                <w:szCs w:val="21"/>
              </w:rPr>
            </w:pPr>
            <w:r>
              <w:rPr>
                <w:color w:val="000000"/>
                <w:szCs w:val="21"/>
              </w:rPr>
              <w:t>16</w:t>
            </w:r>
          </w:p>
        </w:tc>
        <w:tc>
          <w:tcPr>
            <w:tcW w:w="2979"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三轮滑板车的稳定性</w:t>
            </w:r>
          </w:p>
        </w:tc>
        <w:tc>
          <w:tcPr>
            <w:tcW w:w="2555"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 6675.12-2014/4.12</w:t>
            </w:r>
          </w:p>
        </w:tc>
        <w:tc>
          <w:tcPr>
            <w:tcW w:w="2968" w:type="dxa"/>
            <w:vAlign w:val="center"/>
          </w:tcPr>
          <w:p>
            <w:pPr>
              <w:snapToGrid w:val="0"/>
              <w:spacing w:line="440" w:lineRule="exact"/>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GB 6675.2-2014/5.12.2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671" w:type="dxa"/>
            <w:vAlign w:val="center"/>
          </w:tcPr>
          <w:p>
            <w:pPr>
              <w:snapToGrid w:val="0"/>
              <w:spacing w:line="440" w:lineRule="exact"/>
              <w:jc w:val="center"/>
              <w:rPr>
                <w:color w:val="000000"/>
                <w:szCs w:val="21"/>
              </w:rPr>
            </w:pPr>
            <w:r>
              <w:rPr>
                <w:color w:val="000000"/>
                <w:szCs w:val="21"/>
              </w:rPr>
              <w:t>17</w:t>
            </w:r>
          </w:p>
        </w:tc>
        <w:tc>
          <w:tcPr>
            <w:tcW w:w="2979"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可调节、可折叠的把立管和把横管</w:t>
            </w:r>
          </w:p>
        </w:tc>
        <w:tc>
          <w:tcPr>
            <w:tcW w:w="2555"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 6675.12-2014/4.13</w:t>
            </w:r>
          </w:p>
        </w:tc>
        <w:tc>
          <w:tcPr>
            <w:tcW w:w="2968"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 6675.12-2014/5.3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671" w:type="dxa"/>
            <w:vAlign w:val="center"/>
          </w:tcPr>
          <w:p>
            <w:pPr>
              <w:snapToGrid w:val="0"/>
              <w:spacing w:line="440" w:lineRule="exact"/>
              <w:jc w:val="center"/>
              <w:rPr>
                <w:color w:val="000000"/>
                <w:szCs w:val="21"/>
              </w:rPr>
            </w:pPr>
            <w:r>
              <w:rPr>
                <w:color w:val="000000"/>
                <w:szCs w:val="21"/>
              </w:rPr>
              <w:t>18</w:t>
            </w:r>
          </w:p>
        </w:tc>
        <w:tc>
          <w:tcPr>
            <w:tcW w:w="2979"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刹车</w:t>
            </w:r>
          </w:p>
        </w:tc>
        <w:tc>
          <w:tcPr>
            <w:tcW w:w="2555"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 6675.12-2014/4.14</w:t>
            </w:r>
          </w:p>
        </w:tc>
        <w:tc>
          <w:tcPr>
            <w:tcW w:w="2968"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 6675.12-2014/5.3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671" w:type="dxa"/>
            <w:vAlign w:val="center"/>
          </w:tcPr>
          <w:p>
            <w:pPr>
              <w:snapToGrid w:val="0"/>
              <w:spacing w:line="440" w:lineRule="exact"/>
              <w:jc w:val="center"/>
              <w:rPr>
                <w:rFonts w:ascii="Times New Roman" w:hAnsi="Times New Roman" w:eastAsia="宋体" w:cs="Times New Roman"/>
                <w:color w:val="000000"/>
                <w:kern w:val="2"/>
                <w:sz w:val="21"/>
                <w:szCs w:val="21"/>
                <w:lang w:val="en-US" w:eastAsia="zh-CN" w:bidi="ar-SA"/>
              </w:rPr>
            </w:pPr>
            <w:r>
              <w:rPr>
                <w:color w:val="000000"/>
                <w:szCs w:val="21"/>
              </w:rPr>
              <w:t>19</w:t>
            </w:r>
          </w:p>
        </w:tc>
        <w:tc>
          <w:tcPr>
            <w:tcW w:w="2979"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车轮尺寸</w:t>
            </w:r>
          </w:p>
        </w:tc>
        <w:tc>
          <w:tcPr>
            <w:tcW w:w="2555"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 6675.12-2014/4.15</w:t>
            </w:r>
          </w:p>
        </w:tc>
        <w:tc>
          <w:tcPr>
            <w:tcW w:w="2968"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 6675.12-2014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671" w:type="dxa"/>
            <w:vAlign w:val="center"/>
          </w:tcPr>
          <w:p>
            <w:pPr>
              <w:snapToGrid w:val="0"/>
              <w:spacing w:line="440" w:lineRule="exact"/>
              <w:jc w:val="center"/>
              <w:rPr>
                <w:rFonts w:ascii="Times New Roman" w:hAnsi="Times New Roman" w:eastAsia="宋体" w:cs="Times New Roman"/>
                <w:color w:val="000000"/>
                <w:kern w:val="2"/>
                <w:sz w:val="21"/>
                <w:szCs w:val="21"/>
                <w:lang w:val="en-US" w:eastAsia="zh-CN" w:bidi="ar-SA"/>
              </w:rPr>
            </w:pPr>
            <w:r>
              <w:rPr>
                <w:color w:val="000000"/>
                <w:szCs w:val="21"/>
              </w:rPr>
              <w:t>20</w:t>
            </w:r>
          </w:p>
        </w:tc>
        <w:tc>
          <w:tcPr>
            <w:tcW w:w="2979"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具有玩具功能的部件（适用时）</w:t>
            </w:r>
          </w:p>
        </w:tc>
        <w:tc>
          <w:tcPr>
            <w:tcW w:w="2555" w:type="dxa"/>
            <w:vAlign w:val="center"/>
          </w:tcPr>
          <w:p>
            <w:pPr>
              <w:snapToGrid w:val="0"/>
              <w:spacing w:line="440" w:lineRule="exact"/>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GB 6675.12-2014/4.16.1</w:t>
            </w:r>
          </w:p>
          <w:p>
            <w:pPr>
              <w:snapToGrid w:val="0"/>
              <w:spacing w:line="440" w:lineRule="exact"/>
              <w:jc w:val="center"/>
              <w:rPr>
                <w:rFonts w:hint="eastAsia" w:ascii="Times New Roman" w:hAnsi="Times New Roman" w:cs="Times New Roman"/>
                <w:szCs w:val="21"/>
                <w:lang w:val="en-US" w:eastAsia="zh-CN"/>
              </w:rPr>
            </w:pPr>
          </w:p>
        </w:tc>
        <w:tc>
          <w:tcPr>
            <w:tcW w:w="2968"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671" w:type="dxa"/>
            <w:vAlign w:val="center"/>
          </w:tcPr>
          <w:p>
            <w:pPr>
              <w:snapToGrid w:val="0"/>
              <w:spacing w:line="440" w:lineRule="exact"/>
              <w:jc w:val="center"/>
              <w:rPr>
                <w:rFonts w:ascii="Times New Roman" w:hAnsi="Times New Roman" w:eastAsia="宋体" w:cs="Times New Roman"/>
                <w:color w:val="000000"/>
                <w:kern w:val="2"/>
                <w:sz w:val="21"/>
                <w:szCs w:val="21"/>
                <w:lang w:val="en-US" w:eastAsia="zh-CN" w:bidi="ar-SA"/>
              </w:rPr>
            </w:pPr>
            <w:r>
              <w:rPr>
                <w:color w:val="000000"/>
                <w:szCs w:val="21"/>
              </w:rPr>
              <w:t>21</w:t>
            </w:r>
          </w:p>
        </w:tc>
        <w:tc>
          <w:tcPr>
            <w:tcW w:w="2979"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发声部件（适用时）</w:t>
            </w:r>
          </w:p>
        </w:tc>
        <w:tc>
          <w:tcPr>
            <w:tcW w:w="2555" w:type="dxa"/>
            <w:vAlign w:val="center"/>
          </w:tcPr>
          <w:p>
            <w:pPr>
              <w:snapToGrid w:val="0"/>
              <w:spacing w:line="440" w:lineRule="exact"/>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GB 6675.12-2014/4.16.2</w:t>
            </w:r>
          </w:p>
          <w:p>
            <w:pPr>
              <w:snapToGrid w:val="0"/>
              <w:spacing w:line="440" w:lineRule="exact"/>
              <w:jc w:val="center"/>
              <w:rPr>
                <w:rFonts w:hint="default" w:ascii="Times New Roman" w:hAnsi="Times New Roman" w:cs="Times New Roman"/>
                <w:szCs w:val="21"/>
                <w:lang w:val="en-US" w:eastAsia="zh-CN"/>
              </w:rPr>
            </w:pPr>
          </w:p>
        </w:tc>
        <w:tc>
          <w:tcPr>
            <w:tcW w:w="2968" w:type="dxa"/>
            <w:vAlign w:val="center"/>
          </w:tcPr>
          <w:p>
            <w:pPr>
              <w:snapToGrid w:val="0"/>
              <w:spacing w:line="440" w:lineRule="exact"/>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GB 6675.2-2014/4.28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671" w:type="dxa"/>
            <w:vAlign w:val="center"/>
          </w:tcPr>
          <w:p>
            <w:pPr>
              <w:snapToGrid w:val="0"/>
              <w:spacing w:line="440" w:lineRule="exact"/>
              <w:jc w:val="center"/>
              <w:rPr>
                <w:rFonts w:ascii="Times New Roman" w:hAnsi="Times New Roman" w:eastAsia="宋体" w:cs="Times New Roman"/>
                <w:color w:val="000000"/>
                <w:kern w:val="2"/>
                <w:sz w:val="21"/>
                <w:szCs w:val="21"/>
                <w:lang w:val="en-US" w:eastAsia="zh-CN" w:bidi="ar-SA"/>
              </w:rPr>
            </w:pPr>
            <w:r>
              <w:rPr>
                <w:color w:val="000000"/>
                <w:szCs w:val="21"/>
              </w:rPr>
              <w:t>22</w:t>
            </w:r>
          </w:p>
        </w:tc>
        <w:tc>
          <w:tcPr>
            <w:tcW w:w="2979"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电气附件（适用时）</w:t>
            </w:r>
          </w:p>
        </w:tc>
        <w:tc>
          <w:tcPr>
            <w:tcW w:w="2555" w:type="dxa"/>
            <w:vAlign w:val="center"/>
          </w:tcPr>
          <w:p>
            <w:pPr>
              <w:snapToGrid w:val="0"/>
              <w:spacing w:line="440" w:lineRule="exact"/>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GB 6675.12-2014/4.16.2</w:t>
            </w:r>
          </w:p>
          <w:p>
            <w:pPr>
              <w:snapToGrid w:val="0"/>
              <w:spacing w:line="440" w:lineRule="exact"/>
              <w:jc w:val="center"/>
              <w:rPr>
                <w:rFonts w:hint="default" w:ascii="Times New Roman" w:hAnsi="Times New Roman" w:cs="Times New Roman"/>
                <w:szCs w:val="21"/>
                <w:lang w:val="en-US" w:eastAsia="zh-CN"/>
              </w:rPr>
            </w:pPr>
          </w:p>
        </w:tc>
        <w:tc>
          <w:tcPr>
            <w:tcW w:w="2968"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 19</w:t>
            </w:r>
            <w:bookmarkStart w:id="0" w:name="_GoBack"/>
            <w:bookmarkEnd w:id="0"/>
            <w:r>
              <w:rPr>
                <w:rFonts w:hint="eastAsia" w:ascii="Times New Roman" w:hAnsi="Times New Roman" w:cs="Times New Roman"/>
                <w:szCs w:val="21"/>
                <w:lang w:val="en-US" w:eastAsia="zh-CN"/>
              </w:rPr>
              <w:t>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671" w:type="dxa"/>
            <w:vAlign w:val="center"/>
          </w:tcPr>
          <w:p>
            <w:pPr>
              <w:snapToGrid w:val="0"/>
              <w:spacing w:line="440" w:lineRule="exact"/>
              <w:jc w:val="center"/>
              <w:rPr>
                <w:rFonts w:hint="default" w:ascii="Times New Roman" w:hAnsi="Times New Roman" w:eastAsia="宋体" w:cs="Times New Roman"/>
                <w:color w:val="000000"/>
                <w:kern w:val="2"/>
                <w:sz w:val="21"/>
                <w:szCs w:val="21"/>
                <w:lang w:val="en-US" w:eastAsia="zh-CN" w:bidi="ar-SA"/>
              </w:rPr>
            </w:pPr>
            <w:r>
              <w:rPr>
                <w:rFonts w:hint="eastAsia"/>
                <w:color w:val="000000"/>
                <w:szCs w:val="21"/>
                <w:lang w:val="en-US" w:eastAsia="zh-CN"/>
              </w:rPr>
              <w:t>23</w:t>
            </w:r>
          </w:p>
        </w:tc>
        <w:tc>
          <w:tcPr>
            <w:tcW w:w="2979"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标识和警告</w:t>
            </w:r>
          </w:p>
        </w:tc>
        <w:tc>
          <w:tcPr>
            <w:tcW w:w="2555"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 6675.12-2014/4.17.1、附录A</w:t>
            </w:r>
          </w:p>
        </w:tc>
        <w:tc>
          <w:tcPr>
            <w:tcW w:w="2968"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 6675.12-2014/4.17.1、附录A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671" w:type="dxa"/>
            <w:vAlign w:val="center"/>
          </w:tcPr>
          <w:p>
            <w:pPr>
              <w:snapToGrid w:val="0"/>
              <w:spacing w:line="440" w:lineRule="exact"/>
              <w:jc w:val="center"/>
              <w:rPr>
                <w:rFonts w:hint="default" w:eastAsia="宋体"/>
                <w:color w:val="000000"/>
                <w:szCs w:val="21"/>
                <w:lang w:val="en-US" w:eastAsia="zh-CN"/>
              </w:rPr>
            </w:pPr>
            <w:r>
              <w:rPr>
                <w:rFonts w:hint="eastAsia"/>
                <w:color w:val="000000"/>
                <w:szCs w:val="21"/>
                <w:lang w:val="en-US" w:eastAsia="zh-CN"/>
              </w:rPr>
              <w:t>24</w:t>
            </w:r>
          </w:p>
        </w:tc>
        <w:tc>
          <w:tcPr>
            <w:tcW w:w="2979"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使用说明</w:t>
            </w:r>
          </w:p>
        </w:tc>
        <w:tc>
          <w:tcPr>
            <w:tcW w:w="2555"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 6675.12-2014/4.17.2</w:t>
            </w:r>
          </w:p>
          <w:p>
            <w:pPr>
              <w:snapToGrid w:val="0"/>
              <w:spacing w:line="440" w:lineRule="exact"/>
              <w:jc w:val="center"/>
              <w:rPr>
                <w:rFonts w:hint="eastAsia" w:ascii="Times New Roman" w:hAnsi="Times New Roman" w:cs="Times New Roman"/>
                <w:szCs w:val="21"/>
                <w:lang w:val="en-US" w:eastAsia="zh-CN"/>
              </w:rPr>
            </w:pPr>
          </w:p>
        </w:tc>
        <w:tc>
          <w:tcPr>
            <w:tcW w:w="2968" w:type="dxa"/>
            <w:vAlign w:val="center"/>
          </w:tcPr>
          <w:p>
            <w:pPr>
              <w:snapToGrid w:val="0"/>
              <w:spacing w:line="44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GB 6675.12-2014/4.17.2</w:t>
            </w:r>
          </w:p>
          <w:p>
            <w:pPr>
              <w:snapToGrid w:val="0"/>
              <w:spacing w:line="440" w:lineRule="exact"/>
              <w:jc w:val="center"/>
              <w:rPr>
                <w:rFonts w:hint="eastAsia" w:ascii="Times New Roman" w:hAnsi="Times New Roman" w:cs="Times New Roman"/>
                <w:szCs w:val="21"/>
                <w:lang w:val="en-US" w:eastAsia="zh-CN"/>
              </w:rPr>
            </w:pPr>
          </w:p>
        </w:tc>
      </w:tr>
    </w:tbl>
    <w:p>
      <w:pPr>
        <w:snapToGrid w:val="0"/>
        <w:spacing w:line="440" w:lineRule="exact"/>
        <w:ind w:firstLine="359" w:firstLineChars="171"/>
        <w:rPr>
          <w:rFonts w:ascii="Times New Roman" w:hAnsi="Times New Roman"/>
          <w:color w:val="000000"/>
        </w:rPr>
      </w:pPr>
      <w:r>
        <w:rPr>
          <w:rFonts w:ascii="Times New Roman" w:hAnsi="Times New Roman"/>
          <w:color w:val="000000"/>
        </w:rPr>
        <w:t>执行企业标准、团体标准、地方标准的产品，检验项目参照上述内容执行。</w:t>
      </w:r>
    </w:p>
    <w:p>
      <w:pPr>
        <w:snapToGrid w:val="0"/>
        <w:spacing w:line="440" w:lineRule="exact"/>
        <w:ind w:firstLine="359" w:firstLineChars="171"/>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ascii="宋体" w:hAnsi="宋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adjustRightInd w:val="0"/>
        <w:snapToGrid w:val="0"/>
        <w:spacing w:line="440" w:lineRule="exact"/>
        <w:ind w:firstLine="420" w:firstLineChars="200"/>
        <w:rPr>
          <w:rFonts w:ascii="宋体" w:hAnsi="宋体"/>
          <w:szCs w:val="21"/>
        </w:rPr>
      </w:pPr>
      <w:r>
        <w:rPr>
          <w:rFonts w:hint="eastAsia" w:ascii="宋体" w:hAnsi="宋体"/>
          <w:color w:val="000000"/>
          <w:szCs w:val="21"/>
        </w:rPr>
        <w:t>GB 6675.1-2014 玩具安全 第1部分：基本规范</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GB 6675.2-2014 玩具安全 第2部分：机械与物理性能</w:t>
      </w:r>
    </w:p>
    <w:p>
      <w:pPr>
        <w:snapToGrid w:val="0"/>
        <w:spacing w:line="440" w:lineRule="exact"/>
        <w:ind w:firstLine="417" w:firstLineChars="199"/>
        <w:rPr>
          <w:rFonts w:ascii="宋体" w:hAnsi="宋体"/>
          <w:szCs w:val="21"/>
        </w:rPr>
      </w:pPr>
      <w:r>
        <w:rPr>
          <w:rFonts w:hint="eastAsia" w:ascii="宋体" w:hAnsi="宋体"/>
          <w:color w:val="000000"/>
          <w:szCs w:val="21"/>
        </w:rPr>
        <w:t>GB 6675.3-2014 玩具安全 第3部分：易燃性能</w:t>
      </w:r>
    </w:p>
    <w:p>
      <w:pPr>
        <w:snapToGrid w:val="0"/>
        <w:spacing w:line="440" w:lineRule="exact"/>
        <w:ind w:firstLine="417" w:firstLineChars="199"/>
        <w:rPr>
          <w:rFonts w:ascii="宋体" w:hAnsi="宋体"/>
          <w:szCs w:val="21"/>
        </w:rPr>
      </w:pPr>
      <w:r>
        <w:rPr>
          <w:rFonts w:hint="eastAsia" w:ascii="宋体" w:hAnsi="宋体"/>
          <w:color w:val="000000"/>
          <w:szCs w:val="21"/>
        </w:rPr>
        <w:t>GB 6675.4-2014 玩具安全 第4部分：特定元素的迁移</w:t>
      </w:r>
    </w:p>
    <w:p>
      <w:pPr>
        <w:snapToGrid w:val="0"/>
        <w:spacing w:line="440" w:lineRule="exact"/>
        <w:ind w:firstLine="417" w:firstLineChars="199"/>
        <w:rPr>
          <w:rFonts w:hint="eastAsia" w:ascii="宋体" w:hAnsi="宋体"/>
          <w:color w:val="000000"/>
          <w:szCs w:val="21"/>
        </w:rPr>
      </w:pPr>
      <w:r>
        <w:rPr>
          <w:rFonts w:hint="eastAsia" w:ascii="宋体" w:hAnsi="宋体"/>
          <w:color w:val="000000"/>
          <w:szCs w:val="21"/>
        </w:rPr>
        <w:t>GB/T 5296.5-2006 消费品使用说明 第5部分：玩具</w:t>
      </w:r>
    </w:p>
    <w:p>
      <w:pPr>
        <w:snapToGrid w:val="0"/>
        <w:spacing w:line="440" w:lineRule="exact"/>
        <w:ind w:firstLine="417" w:firstLineChars="199"/>
        <w:rPr>
          <w:rFonts w:hint="eastAsia" w:ascii="宋体" w:hAnsi="宋体"/>
          <w:color w:val="000000"/>
          <w:szCs w:val="21"/>
          <w:lang w:eastAsia="zh-CN"/>
        </w:rPr>
      </w:pPr>
      <w:r>
        <w:rPr>
          <w:rFonts w:hint="eastAsia" w:ascii="宋体" w:hAnsi="宋体"/>
          <w:color w:val="000000"/>
          <w:szCs w:val="21"/>
        </w:rPr>
        <w:t>GB 6675.</w:t>
      </w:r>
      <w:r>
        <w:rPr>
          <w:rFonts w:hint="eastAsia" w:ascii="宋体" w:hAnsi="宋体"/>
          <w:color w:val="000000"/>
          <w:szCs w:val="21"/>
          <w:lang w:val="en-US" w:eastAsia="zh-CN"/>
        </w:rPr>
        <w:t>12</w:t>
      </w:r>
      <w:r>
        <w:rPr>
          <w:rFonts w:hint="eastAsia" w:ascii="宋体" w:hAnsi="宋体"/>
          <w:color w:val="000000"/>
          <w:szCs w:val="21"/>
        </w:rPr>
        <w:t>-2014 玩具安全 第</w:t>
      </w:r>
      <w:r>
        <w:rPr>
          <w:rFonts w:hint="eastAsia" w:ascii="宋体" w:hAnsi="宋体"/>
          <w:color w:val="000000"/>
          <w:szCs w:val="21"/>
          <w:lang w:val="en-US" w:eastAsia="zh-CN"/>
        </w:rPr>
        <w:t>12</w:t>
      </w:r>
      <w:r>
        <w:rPr>
          <w:rFonts w:hint="eastAsia" w:ascii="宋体" w:hAnsi="宋体"/>
          <w:color w:val="000000"/>
          <w:szCs w:val="21"/>
        </w:rPr>
        <w:t>部分：</w:t>
      </w:r>
      <w:r>
        <w:rPr>
          <w:rFonts w:hint="eastAsia" w:ascii="宋体" w:hAnsi="宋体"/>
          <w:color w:val="000000"/>
          <w:szCs w:val="21"/>
          <w:lang w:eastAsia="zh-CN"/>
        </w:rPr>
        <w:t>玩具滑板车</w:t>
      </w:r>
    </w:p>
    <w:p>
      <w:pPr>
        <w:snapToGrid w:val="0"/>
        <w:spacing w:line="440" w:lineRule="exact"/>
        <w:ind w:firstLine="420" w:firstLineChars="200"/>
        <w:rPr>
          <w:rFonts w:hint="eastAsia"/>
        </w:rPr>
      </w:pPr>
      <w:r>
        <w:rPr>
          <w:rFonts w:ascii="宋体" w:hAnsi="宋体" w:cs="宋体"/>
          <w:color w:val="000000"/>
        </w:rPr>
        <w:t xml:space="preserve">GB </w:t>
      </w:r>
      <w:r>
        <w:rPr>
          <w:rFonts w:hint="eastAsia" w:ascii="宋体" w:hAnsi="宋体" w:cs="宋体"/>
          <w:color w:val="000000"/>
        </w:rPr>
        <w:t>19865</w:t>
      </w:r>
      <w:r>
        <w:rPr>
          <w:rFonts w:hint="eastAsia" w:ascii="宋体" w:hAnsi="宋体"/>
          <w:szCs w:val="21"/>
        </w:rPr>
        <w:t>-</w:t>
      </w:r>
      <w:r>
        <w:rPr>
          <w:rFonts w:ascii="宋体" w:hAnsi="宋体"/>
          <w:szCs w:val="21"/>
        </w:rPr>
        <w:t>2005</w:t>
      </w:r>
      <w:r>
        <w:rPr>
          <w:rFonts w:hint="eastAsia" w:ascii="宋体" w:hAnsi="宋体"/>
          <w:color w:val="000000"/>
          <w:szCs w:val="21"/>
        </w:rPr>
        <w:t xml:space="preserve"> 电玩具的安全</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62" w:firstLineChars="22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17" w:firstLineChars="199"/>
        <w:rPr>
          <w:rFonts w:hint="eastAsia" w:ascii="宋体" w:hAnsi="宋体"/>
          <w:color w:val="000000"/>
          <w:szCs w:val="21"/>
        </w:rPr>
      </w:pPr>
      <w:r>
        <w:t>经检验，检验项目全部合格，判定为被抽查产品所检项目未发现不合格；检验项目中任一项或一项以上不合格，判定为被抽查产品不合格</w:t>
      </w:r>
      <w:r>
        <w:rPr>
          <w:rFonts w:hint="eastAsia"/>
        </w:rPr>
        <w:t>。</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小标宋简体">
    <w:altName w:val="Arial Unicode MS"/>
    <w:panose1 w:val="02010601030101010101"/>
    <w:charset w:val="86"/>
    <w:family w:val="auto"/>
    <w:pitch w:val="default"/>
    <w:sig w:usb0="00000000" w:usb1="00000000" w:usb2="00000000" w:usb3="00000000" w:csb0="00040000" w:csb1="00000000"/>
  </w:font>
  <w:font w:name="方正仿宋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Q3YmQwMzhkNDVlNGUwNGViZmJmZjVlN2I0NjZmOWEifQ=="/>
  </w:docVars>
  <w:rsids>
    <w:rsidRoot w:val="004E1C1B"/>
    <w:rsid w:val="00000AC9"/>
    <w:rsid w:val="00063F4C"/>
    <w:rsid w:val="00065DD9"/>
    <w:rsid w:val="00070677"/>
    <w:rsid w:val="000709D6"/>
    <w:rsid w:val="0007289B"/>
    <w:rsid w:val="0007432E"/>
    <w:rsid w:val="000938BE"/>
    <w:rsid w:val="000A49E7"/>
    <w:rsid w:val="000E7B21"/>
    <w:rsid w:val="000F47BD"/>
    <w:rsid w:val="001002C5"/>
    <w:rsid w:val="0010147F"/>
    <w:rsid w:val="001047E9"/>
    <w:rsid w:val="001107C8"/>
    <w:rsid w:val="001115F1"/>
    <w:rsid w:val="00121A44"/>
    <w:rsid w:val="00126693"/>
    <w:rsid w:val="0013672B"/>
    <w:rsid w:val="00170C0D"/>
    <w:rsid w:val="00176416"/>
    <w:rsid w:val="0018638C"/>
    <w:rsid w:val="001A6F39"/>
    <w:rsid w:val="001B4339"/>
    <w:rsid w:val="001C3A65"/>
    <w:rsid w:val="001D01A2"/>
    <w:rsid w:val="001E160C"/>
    <w:rsid w:val="001E44BD"/>
    <w:rsid w:val="001F3FE8"/>
    <w:rsid w:val="00200658"/>
    <w:rsid w:val="00207F0B"/>
    <w:rsid w:val="00211FF9"/>
    <w:rsid w:val="002122B4"/>
    <w:rsid w:val="00226A0D"/>
    <w:rsid w:val="00227EAF"/>
    <w:rsid w:val="00230A9A"/>
    <w:rsid w:val="00240531"/>
    <w:rsid w:val="00245C71"/>
    <w:rsid w:val="00246A7D"/>
    <w:rsid w:val="00246AC4"/>
    <w:rsid w:val="00263F0A"/>
    <w:rsid w:val="00267D91"/>
    <w:rsid w:val="00272CA1"/>
    <w:rsid w:val="00277D59"/>
    <w:rsid w:val="00284C45"/>
    <w:rsid w:val="00286B66"/>
    <w:rsid w:val="00292F7F"/>
    <w:rsid w:val="002A7AFD"/>
    <w:rsid w:val="002C47A2"/>
    <w:rsid w:val="002E353E"/>
    <w:rsid w:val="00311865"/>
    <w:rsid w:val="00314332"/>
    <w:rsid w:val="00360E00"/>
    <w:rsid w:val="0037167C"/>
    <w:rsid w:val="00377C3F"/>
    <w:rsid w:val="003808FF"/>
    <w:rsid w:val="00391DBC"/>
    <w:rsid w:val="00411D24"/>
    <w:rsid w:val="00414D47"/>
    <w:rsid w:val="00454452"/>
    <w:rsid w:val="00473779"/>
    <w:rsid w:val="0049360D"/>
    <w:rsid w:val="004A080F"/>
    <w:rsid w:val="004C13EF"/>
    <w:rsid w:val="004E1C1B"/>
    <w:rsid w:val="004E2FFC"/>
    <w:rsid w:val="00506FC8"/>
    <w:rsid w:val="00513180"/>
    <w:rsid w:val="00525C57"/>
    <w:rsid w:val="00553171"/>
    <w:rsid w:val="00556685"/>
    <w:rsid w:val="00561840"/>
    <w:rsid w:val="00567492"/>
    <w:rsid w:val="005758EC"/>
    <w:rsid w:val="005832E3"/>
    <w:rsid w:val="005B3386"/>
    <w:rsid w:val="005C1376"/>
    <w:rsid w:val="00605616"/>
    <w:rsid w:val="00615130"/>
    <w:rsid w:val="00622E51"/>
    <w:rsid w:val="00623104"/>
    <w:rsid w:val="00655983"/>
    <w:rsid w:val="0065615B"/>
    <w:rsid w:val="006669B0"/>
    <w:rsid w:val="00681809"/>
    <w:rsid w:val="006C5285"/>
    <w:rsid w:val="006E7112"/>
    <w:rsid w:val="007228BE"/>
    <w:rsid w:val="00724404"/>
    <w:rsid w:val="00746248"/>
    <w:rsid w:val="007652FF"/>
    <w:rsid w:val="0076751A"/>
    <w:rsid w:val="007677FA"/>
    <w:rsid w:val="00775C4F"/>
    <w:rsid w:val="00813A0F"/>
    <w:rsid w:val="00814659"/>
    <w:rsid w:val="008468A1"/>
    <w:rsid w:val="00852AAD"/>
    <w:rsid w:val="008927E7"/>
    <w:rsid w:val="008B6FBF"/>
    <w:rsid w:val="008C4CED"/>
    <w:rsid w:val="008E46F3"/>
    <w:rsid w:val="008E6FAA"/>
    <w:rsid w:val="008F15D1"/>
    <w:rsid w:val="00914F1C"/>
    <w:rsid w:val="00916257"/>
    <w:rsid w:val="009218FD"/>
    <w:rsid w:val="00922C7B"/>
    <w:rsid w:val="00932D5C"/>
    <w:rsid w:val="00940525"/>
    <w:rsid w:val="00943D47"/>
    <w:rsid w:val="00950D6F"/>
    <w:rsid w:val="0097606A"/>
    <w:rsid w:val="00990F2D"/>
    <w:rsid w:val="00995C43"/>
    <w:rsid w:val="00996DCB"/>
    <w:rsid w:val="009B0746"/>
    <w:rsid w:val="009C4FE0"/>
    <w:rsid w:val="009E3FA0"/>
    <w:rsid w:val="00A02043"/>
    <w:rsid w:val="00A074AF"/>
    <w:rsid w:val="00A30649"/>
    <w:rsid w:val="00A41A21"/>
    <w:rsid w:val="00A51975"/>
    <w:rsid w:val="00A67D77"/>
    <w:rsid w:val="00A871CD"/>
    <w:rsid w:val="00A957C3"/>
    <w:rsid w:val="00AA71CE"/>
    <w:rsid w:val="00AC063A"/>
    <w:rsid w:val="00AE29EC"/>
    <w:rsid w:val="00AF157E"/>
    <w:rsid w:val="00AF7D1B"/>
    <w:rsid w:val="00B141CB"/>
    <w:rsid w:val="00B47EB8"/>
    <w:rsid w:val="00B50BA4"/>
    <w:rsid w:val="00B61E92"/>
    <w:rsid w:val="00B64D86"/>
    <w:rsid w:val="00B738AD"/>
    <w:rsid w:val="00B918EF"/>
    <w:rsid w:val="00BB4190"/>
    <w:rsid w:val="00BC6C8D"/>
    <w:rsid w:val="00BD6C92"/>
    <w:rsid w:val="00BE295B"/>
    <w:rsid w:val="00BE42E1"/>
    <w:rsid w:val="00BE7DDE"/>
    <w:rsid w:val="00BF5FD7"/>
    <w:rsid w:val="00C04B27"/>
    <w:rsid w:val="00C20A78"/>
    <w:rsid w:val="00C642B3"/>
    <w:rsid w:val="00C718EC"/>
    <w:rsid w:val="00C82346"/>
    <w:rsid w:val="00CA1AE0"/>
    <w:rsid w:val="00CB3159"/>
    <w:rsid w:val="00CC17D0"/>
    <w:rsid w:val="00CC2E25"/>
    <w:rsid w:val="00CC53AD"/>
    <w:rsid w:val="00CD2529"/>
    <w:rsid w:val="00CE5841"/>
    <w:rsid w:val="00D0415C"/>
    <w:rsid w:val="00D1773D"/>
    <w:rsid w:val="00D2319E"/>
    <w:rsid w:val="00D5109D"/>
    <w:rsid w:val="00D52087"/>
    <w:rsid w:val="00D63229"/>
    <w:rsid w:val="00D85C1C"/>
    <w:rsid w:val="00DB1A1F"/>
    <w:rsid w:val="00DC4B95"/>
    <w:rsid w:val="00DD3B1A"/>
    <w:rsid w:val="00DD5955"/>
    <w:rsid w:val="00E02D4E"/>
    <w:rsid w:val="00E57D36"/>
    <w:rsid w:val="00E71257"/>
    <w:rsid w:val="00EB1677"/>
    <w:rsid w:val="00EF40B5"/>
    <w:rsid w:val="00EF5E2D"/>
    <w:rsid w:val="00F05AD7"/>
    <w:rsid w:val="00F06385"/>
    <w:rsid w:val="00F5326D"/>
    <w:rsid w:val="00F75F78"/>
    <w:rsid w:val="00F762D5"/>
    <w:rsid w:val="00F7657A"/>
    <w:rsid w:val="00F85ECA"/>
    <w:rsid w:val="00F96067"/>
    <w:rsid w:val="00FB20D9"/>
    <w:rsid w:val="00FC0FEC"/>
    <w:rsid w:val="00FC4DEC"/>
    <w:rsid w:val="00FE2C15"/>
    <w:rsid w:val="0733759D"/>
    <w:rsid w:val="0D7511DD"/>
    <w:rsid w:val="143572D8"/>
    <w:rsid w:val="147026FF"/>
    <w:rsid w:val="1A397FC8"/>
    <w:rsid w:val="1FE50600"/>
    <w:rsid w:val="3DFA34DB"/>
    <w:rsid w:val="48F0738F"/>
    <w:rsid w:val="4B586497"/>
    <w:rsid w:val="4BAB2AD1"/>
    <w:rsid w:val="6A117F0A"/>
    <w:rsid w:val="71AD37B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rFonts w:ascii="仿宋_GB2312" w:eastAsia="仿宋_GB2312"/>
      <w:sz w:val="32"/>
    </w:rPr>
  </w:style>
  <w:style w:type="paragraph" w:styleId="3">
    <w:name w:val="Plain Text"/>
    <w:basedOn w:val="1"/>
    <w:link w:val="16"/>
    <w:qFormat/>
    <w:uiPriority w:val="0"/>
    <w:rPr>
      <w:rFonts w:ascii="宋体" w:hAnsi="Courier New"/>
      <w:szCs w:val="20"/>
    </w:rPr>
  </w:style>
  <w:style w:type="paragraph" w:styleId="4">
    <w:name w:val="Balloon Text"/>
    <w:basedOn w:val="1"/>
    <w:link w:val="15"/>
    <w:unhideWhenUsed/>
    <w:qFormat/>
    <w:uiPriority w:val="99"/>
    <w:rPr>
      <w:sz w:val="18"/>
      <w:szCs w:val="18"/>
    </w:rPr>
  </w:style>
  <w:style w:type="paragraph" w:styleId="5">
    <w:name w:val="footer"/>
    <w:basedOn w:val="1"/>
    <w:link w:val="1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0">
    <w:name w:val="page number"/>
    <w:basedOn w:val="9"/>
    <w:qFormat/>
    <w:uiPriority w:val="0"/>
  </w:style>
  <w:style w:type="character" w:customStyle="1" w:styleId="11">
    <w:name w:val="页脚 Char"/>
    <w:basedOn w:val="9"/>
    <w:link w:val="5"/>
    <w:qFormat/>
    <w:uiPriority w:val="0"/>
    <w:rPr>
      <w:sz w:val="18"/>
      <w:szCs w:val="18"/>
    </w:rPr>
  </w:style>
  <w:style w:type="character" w:customStyle="1" w:styleId="12">
    <w:name w:val="页眉 Char"/>
    <w:basedOn w:val="9"/>
    <w:link w:val="6"/>
    <w:qFormat/>
    <w:uiPriority w:val="99"/>
    <w:rPr>
      <w:sz w:val="18"/>
      <w:szCs w:val="18"/>
    </w:rPr>
  </w:style>
  <w:style w:type="character" w:customStyle="1" w:styleId="13">
    <w:name w:val="页脚 Char1"/>
    <w:basedOn w:val="9"/>
    <w:semiHidden/>
    <w:qFormat/>
    <w:uiPriority w:val="99"/>
    <w:rPr>
      <w:rFonts w:ascii="Times New Roman" w:hAnsi="Times New Roman" w:eastAsia="宋体" w:cs="Times New Roman"/>
      <w:sz w:val="18"/>
      <w:szCs w:val="18"/>
    </w:rPr>
  </w:style>
  <w:style w:type="character" w:customStyle="1" w:styleId="14">
    <w:name w:val="页眉 Char1"/>
    <w:basedOn w:val="9"/>
    <w:semiHidden/>
    <w:qFormat/>
    <w:uiPriority w:val="99"/>
    <w:rPr>
      <w:rFonts w:ascii="Times New Roman" w:hAnsi="Times New Roman" w:eastAsia="宋体" w:cs="Times New Roman"/>
      <w:sz w:val="18"/>
      <w:szCs w:val="18"/>
    </w:rPr>
  </w:style>
  <w:style w:type="character" w:customStyle="1" w:styleId="15">
    <w:name w:val="批注框文本 Char"/>
    <w:basedOn w:val="9"/>
    <w:link w:val="4"/>
    <w:semiHidden/>
    <w:qFormat/>
    <w:uiPriority w:val="99"/>
    <w:rPr>
      <w:rFonts w:ascii="Times New Roman" w:hAnsi="Times New Roman" w:eastAsia="宋体" w:cs="Times New Roman"/>
      <w:sz w:val="18"/>
      <w:szCs w:val="18"/>
    </w:rPr>
  </w:style>
  <w:style w:type="character" w:customStyle="1" w:styleId="16">
    <w:name w:val="纯文本 Char"/>
    <w:basedOn w:val="9"/>
    <w:link w:val="3"/>
    <w:qFormat/>
    <w:uiPriority w:val="0"/>
    <w:rPr>
      <w:rFonts w:ascii="宋体" w:hAnsi="Courier New" w:eastAsia="宋体" w:cs="Times New Roman"/>
      <w:szCs w:val="20"/>
    </w:rPr>
  </w:style>
  <w:style w:type="paragraph" w:customStyle="1" w:styleId="17">
    <w:name w:val="二级无标题条"/>
    <w:basedOn w:val="1"/>
    <w:qFormat/>
    <w:uiPriority w:val="0"/>
  </w:style>
  <w:style w:type="paragraph" w:customStyle="1" w:styleId="18">
    <w:name w:val="段"/>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customStyle="1" w:styleId="19">
    <w:name w:val="二级条标题"/>
    <w:basedOn w:val="1"/>
    <w:next w:val="18"/>
    <w:qFormat/>
    <w:uiPriority w:val="0"/>
    <w:pPr>
      <w:widowControl/>
      <w:tabs>
        <w:tab w:val="left" w:pos="1680"/>
      </w:tabs>
      <w:ind w:left="1680" w:hanging="420"/>
      <w:outlineLvl w:val="3"/>
    </w:pPr>
    <w:rPr>
      <w:rFonts w:ascii="黑体" w:eastAsia="黑体"/>
      <w:kern w:val="0"/>
      <w:szCs w:val="20"/>
    </w:rPr>
  </w:style>
  <w:style w:type="character" w:customStyle="1" w:styleId="20">
    <w:name w:val="font131"/>
    <w:qFormat/>
    <w:uiPriority w:val="0"/>
    <w:rPr>
      <w:rFonts w:hint="eastAsia" w:ascii="方正仿宋_GBK" w:hAnsi="方正仿宋_GBK" w:eastAsia="方正仿宋_GBK" w:cs="方正仿宋_GBK"/>
      <w:color w:val="000000"/>
      <w:sz w:val="22"/>
      <w:szCs w:val="22"/>
      <w:u w:val="none"/>
    </w:rPr>
  </w:style>
  <w:style w:type="paragraph" w:customStyle="1" w:styleId="21">
    <w:name w:val="列项·"/>
    <w:qFormat/>
    <w:uiPriority w:val="99"/>
    <w:pPr>
      <w:tabs>
        <w:tab w:val="left" w:pos="840"/>
      </w:tabs>
      <w:ind w:left="420"/>
      <w:jc w:val="both"/>
    </w:pPr>
    <w:rPr>
      <w:rFonts w:ascii="宋体" w:hAnsi="Calibri" w:eastAsia="宋体" w:cs="宋体"/>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1127</Words>
  <Characters>2012</Characters>
  <Lines>13</Lines>
  <Paragraphs>3</Paragraphs>
  <TotalTime>2</TotalTime>
  <ScaleCrop>false</ScaleCrop>
  <LinksUpToDate>false</LinksUpToDate>
  <CharactersWithSpaces>2088</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2021-03-24T12:05:00Z</dcterms:created>
  <dc:creator>pc</dc:creator>
  <cp:lastModifiedBy>落日空城1397463337</cp:lastModifiedBy>
  <dcterms:modified xsi:type="dcterms:W3CDTF">2022-07-23T02:42:39Z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6269BA11D9FA4518A4EE31C0CF11E6D5</vt:lpwstr>
  </property>
</Properties>
</file>