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重庆市绝热用模塑聚苯乙烯泡沫塑料产品质量监督抽查实施细则</w:t>
      </w:r>
    </w:p>
    <w:p>
      <w:pPr>
        <w:pStyle w:val="2"/>
        <w:spacing w:line="440" w:lineRule="exact"/>
        <w:jc w:val="center"/>
        <w:rPr>
          <w:rFonts w:ascii="宋体" w:hAnsi="宋体"/>
          <w:color w:val="000000"/>
          <w:szCs w:val="21"/>
        </w:rPr>
      </w:pPr>
      <w:r>
        <w:rPr>
          <w:rFonts w:hint="eastAsia" w:ascii="方正小标宋简体" w:hAnsi="仿宋" w:eastAsia="方正小标宋简体" w:cs="方正仿宋简体"/>
          <w:color w:val="000000"/>
          <w:szCs w:val="32"/>
        </w:rPr>
        <w:t>（2021年</w:t>
      </w:r>
      <w:r>
        <w:rPr>
          <w:rFonts w:hint="eastAsia" w:ascii="方正小标宋简体" w:hAnsi="仿宋" w:eastAsia="方正小标宋简体" w:cs="方正仿宋简体"/>
          <w:color w:val="000000"/>
          <w:szCs w:val="32"/>
          <w:lang w:eastAsia="zh-CN"/>
        </w:rPr>
        <w:t>第</w:t>
      </w:r>
      <w:r>
        <w:rPr>
          <w:rFonts w:hint="eastAsia" w:ascii="方正小标宋简体" w:hAnsi="仿宋" w:eastAsia="方正小标宋简体" w:cs="方正仿宋简体"/>
          <w:color w:val="000000"/>
          <w:szCs w:val="32"/>
          <w:lang w:val="en-US" w:eastAsia="zh-CN"/>
        </w:rPr>
        <w:t>5批</w:t>
      </w:r>
      <w:bookmarkStart w:id="0" w:name="_GoBack"/>
      <w:bookmarkEnd w:id="0"/>
      <w:r>
        <w:rPr>
          <w:rFonts w:hint="eastAsia" w:ascii="方正小标宋简体" w:hAnsi="仿宋" w:eastAsia="方正小标宋简体" w:cs="方正仿宋简体"/>
          <w:color w:val="000000"/>
          <w:szCs w:val="32"/>
        </w:rPr>
        <w:t>）</w:t>
      </w:r>
    </w:p>
    <w:p>
      <w:pPr>
        <w:snapToGrid w:val="0"/>
        <w:spacing w:before="156" w:beforeLines="50"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的待销产品中随机抽取有产品质量检验合格证明或者以其他形式表明合格的、且自生产之日起放置28天以上的产品。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color w:val="333333"/>
          <w:szCs w:val="21"/>
        </w:rPr>
        <w:t>对同一生产者按照同一标准生产的同一商标、同一规格型号的</w:t>
      </w:r>
      <w:r>
        <w:rPr>
          <w:rFonts w:hint="eastAsia" w:ascii="宋体" w:hAnsi="宋体"/>
          <w:szCs w:val="21"/>
        </w:rPr>
        <w:t>产品抽取尺寸不小于1200mm×600mm的样品</w:t>
      </w:r>
      <w:r>
        <w:rPr>
          <w:rFonts w:ascii="宋体" w:hAnsi="宋体"/>
          <w:szCs w:val="21"/>
        </w:rPr>
        <w:t>6</w:t>
      </w:r>
      <w:r>
        <w:rPr>
          <w:rFonts w:hint="eastAsia" w:ascii="宋体" w:hAnsi="宋体"/>
          <w:szCs w:val="21"/>
        </w:rPr>
        <w:t>块，其中</w:t>
      </w:r>
      <w:r>
        <w:rPr>
          <w:rFonts w:ascii="宋体" w:hAnsi="宋体"/>
          <w:szCs w:val="21"/>
        </w:rPr>
        <w:t>3</w:t>
      </w:r>
      <w:r>
        <w:rPr>
          <w:rFonts w:hint="eastAsia" w:ascii="宋体" w:hAnsi="宋体"/>
          <w:szCs w:val="21"/>
        </w:rPr>
        <w:t>块为检验样品，其余</w:t>
      </w:r>
      <w:r>
        <w:rPr>
          <w:rFonts w:ascii="宋体" w:hAnsi="宋体"/>
          <w:szCs w:val="21"/>
        </w:rPr>
        <w:t>3</w:t>
      </w:r>
      <w:r>
        <w:rPr>
          <w:rFonts w:hint="eastAsia" w:ascii="宋体" w:hAnsi="宋体"/>
          <w:szCs w:val="21"/>
        </w:rPr>
        <w:t>块为备用样品。</w:t>
      </w:r>
    </w:p>
    <w:p>
      <w:pPr>
        <w:snapToGrid w:val="0"/>
        <w:spacing w:line="440" w:lineRule="exact"/>
        <w:ind w:firstLine="420" w:firstLineChars="200"/>
        <w:rPr>
          <w:rFonts w:ascii="宋体" w:hAnsi="宋体"/>
          <w:szCs w:val="21"/>
        </w:rPr>
      </w:pPr>
      <w:r>
        <w:rPr>
          <w:rFonts w:hint="eastAsia" w:ascii="宋体" w:hAnsi="宋体"/>
          <w:szCs w:val="21"/>
        </w:rPr>
        <w:t>备用样品封存于受检机构。</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before="156" w:beforeLines="50"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检验项目、判定依据和检验方法见表1。</w:t>
      </w:r>
    </w:p>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表1  绝热用模塑聚苯乙烯泡沫塑料检验项目、判定依据和检验方法</w:t>
      </w:r>
    </w:p>
    <w:tbl>
      <w:tblPr>
        <w:tblStyle w:val="10"/>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2965"/>
        <w:gridCol w:w="2570"/>
        <w:gridCol w:w="2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135" w:type="dxa"/>
          </w:tcPr>
          <w:p>
            <w:pPr>
              <w:snapToGrid w:val="0"/>
              <w:spacing w:line="440" w:lineRule="exact"/>
              <w:jc w:val="center"/>
              <w:rPr>
                <w:rFonts w:ascii="宋体" w:hAnsi="宋体"/>
                <w:bCs/>
                <w:color w:val="000000"/>
                <w:szCs w:val="21"/>
              </w:rPr>
            </w:pPr>
            <w:r>
              <w:rPr>
                <w:rFonts w:hint="eastAsia" w:ascii="宋体" w:hAnsi="宋体"/>
                <w:bCs/>
                <w:color w:val="000000"/>
                <w:szCs w:val="21"/>
              </w:rPr>
              <w:t>序号</w:t>
            </w:r>
          </w:p>
        </w:tc>
        <w:tc>
          <w:tcPr>
            <w:tcW w:w="2965" w:type="dxa"/>
          </w:tcPr>
          <w:p>
            <w:pPr>
              <w:snapToGrid w:val="0"/>
              <w:spacing w:line="440" w:lineRule="exact"/>
              <w:jc w:val="center"/>
              <w:rPr>
                <w:rFonts w:ascii="宋体" w:hAnsi="宋体"/>
                <w:bCs/>
                <w:color w:val="000000"/>
                <w:szCs w:val="21"/>
              </w:rPr>
            </w:pPr>
            <w:r>
              <w:rPr>
                <w:rFonts w:hint="eastAsia" w:ascii="宋体" w:hAnsi="宋体"/>
                <w:bCs/>
                <w:color w:val="000000"/>
                <w:szCs w:val="21"/>
              </w:rPr>
              <w:t>检验项目</w:t>
            </w:r>
          </w:p>
        </w:tc>
        <w:tc>
          <w:tcPr>
            <w:tcW w:w="2570" w:type="dxa"/>
          </w:tcPr>
          <w:p>
            <w:pPr>
              <w:snapToGrid w:val="0"/>
              <w:spacing w:line="440" w:lineRule="exact"/>
              <w:jc w:val="center"/>
              <w:rPr>
                <w:rFonts w:ascii="宋体" w:hAnsi="宋体"/>
                <w:bCs/>
                <w:color w:val="000000"/>
                <w:szCs w:val="21"/>
              </w:rPr>
            </w:pPr>
            <w:r>
              <w:rPr>
                <w:rFonts w:hint="eastAsia" w:ascii="宋体" w:hAnsi="宋体"/>
                <w:bCs/>
                <w:color w:val="000000"/>
                <w:szCs w:val="21"/>
              </w:rPr>
              <w:t>判定依据</w:t>
            </w:r>
          </w:p>
        </w:tc>
        <w:tc>
          <w:tcPr>
            <w:tcW w:w="2560" w:type="dxa"/>
          </w:tcPr>
          <w:p>
            <w:pPr>
              <w:snapToGrid w:val="0"/>
              <w:spacing w:line="440" w:lineRule="exact"/>
              <w:jc w:val="center"/>
              <w:rPr>
                <w:rFonts w:ascii="宋体" w:hAnsi="宋体"/>
                <w:bCs/>
                <w:color w:val="000000"/>
                <w:szCs w:val="21"/>
              </w:rPr>
            </w:pPr>
            <w:r>
              <w:rPr>
                <w:rFonts w:hint="eastAsia" w:ascii="宋体" w:hAnsi="宋体"/>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vAlign w:val="center"/>
          </w:tcPr>
          <w:p>
            <w:pPr>
              <w:snapToGrid w:val="0"/>
              <w:spacing w:line="440" w:lineRule="exact"/>
              <w:jc w:val="center"/>
              <w:rPr>
                <w:rFonts w:ascii="宋体" w:hAnsi="宋体"/>
                <w:szCs w:val="21"/>
              </w:rPr>
            </w:pPr>
            <w:r>
              <w:rPr>
                <w:rFonts w:hint="eastAsia" w:ascii="宋体" w:hAnsi="宋体"/>
                <w:szCs w:val="21"/>
              </w:rPr>
              <w:t>1</w:t>
            </w:r>
          </w:p>
        </w:tc>
        <w:tc>
          <w:tcPr>
            <w:tcW w:w="2965" w:type="dxa"/>
            <w:vAlign w:val="center"/>
          </w:tcPr>
          <w:p>
            <w:pPr>
              <w:snapToGrid w:val="0"/>
              <w:spacing w:line="440" w:lineRule="exact"/>
              <w:jc w:val="center"/>
              <w:rPr>
                <w:rFonts w:ascii="宋体" w:hAnsi="宋体"/>
                <w:szCs w:val="21"/>
              </w:rPr>
            </w:pPr>
            <w:r>
              <w:rPr>
                <w:rFonts w:hint="eastAsia" w:ascii="宋体" w:hAnsi="宋体"/>
                <w:szCs w:val="21"/>
              </w:rPr>
              <w:t>表观密度</w:t>
            </w:r>
          </w:p>
        </w:tc>
        <w:tc>
          <w:tcPr>
            <w:tcW w:w="2570" w:type="dxa"/>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2560" w:type="dxa"/>
            <w:vAlign w:val="center"/>
          </w:tcPr>
          <w:p>
            <w:pPr>
              <w:snapToGrid w:val="0"/>
              <w:spacing w:line="440" w:lineRule="exact"/>
              <w:jc w:val="center"/>
              <w:rPr>
                <w:rFonts w:ascii="宋体" w:hAnsi="宋体"/>
                <w:szCs w:val="21"/>
              </w:rPr>
            </w:pPr>
            <w:r>
              <w:rPr>
                <w:rFonts w:hint="eastAsia" w:ascii="宋体" w:hAnsi="宋体"/>
                <w:szCs w:val="21"/>
              </w:rPr>
              <w:t>GB/T 6343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vAlign w:val="center"/>
          </w:tcPr>
          <w:p>
            <w:pPr>
              <w:snapToGrid w:val="0"/>
              <w:spacing w:line="440" w:lineRule="exact"/>
              <w:jc w:val="center"/>
              <w:rPr>
                <w:rFonts w:ascii="宋体" w:hAnsi="宋体"/>
                <w:szCs w:val="21"/>
              </w:rPr>
            </w:pPr>
            <w:r>
              <w:rPr>
                <w:rFonts w:hint="eastAsia" w:ascii="宋体" w:hAnsi="宋体"/>
                <w:szCs w:val="21"/>
              </w:rPr>
              <w:t>2</w:t>
            </w:r>
          </w:p>
        </w:tc>
        <w:tc>
          <w:tcPr>
            <w:tcW w:w="2965" w:type="dxa"/>
            <w:vAlign w:val="center"/>
          </w:tcPr>
          <w:p>
            <w:pPr>
              <w:snapToGrid w:val="0"/>
              <w:spacing w:line="440" w:lineRule="exact"/>
              <w:jc w:val="center"/>
              <w:rPr>
                <w:rFonts w:ascii="宋体" w:hAnsi="宋体"/>
                <w:szCs w:val="21"/>
              </w:rPr>
            </w:pPr>
            <w:r>
              <w:rPr>
                <w:rFonts w:hint="eastAsia" w:ascii="宋体" w:hAnsi="宋体"/>
                <w:szCs w:val="21"/>
              </w:rPr>
              <w:t>压缩强度</w:t>
            </w:r>
          </w:p>
        </w:tc>
        <w:tc>
          <w:tcPr>
            <w:tcW w:w="2570" w:type="dxa"/>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2560" w:type="dxa"/>
            <w:vAlign w:val="center"/>
          </w:tcPr>
          <w:p>
            <w:pPr>
              <w:snapToGrid w:val="0"/>
              <w:spacing w:line="440" w:lineRule="exact"/>
              <w:jc w:val="center"/>
              <w:rPr>
                <w:rFonts w:ascii="宋体" w:hAnsi="宋体"/>
                <w:szCs w:val="21"/>
              </w:rPr>
            </w:pPr>
            <w:r>
              <w:rPr>
                <w:rFonts w:hint="eastAsia" w:ascii="宋体" w:hAnsi="宋体"/>
                <w:szCs w:val="21"/>
              </w:rPr>
              <w:t>GB/T 8813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vAlign w:val="center"/>
          </w:tcPr>
          <w:p>
            <w:pPr>
              <w:snapToGrid w:val="0"/>
              <w:spacing w:line="440" w:lineRule="exact"/>
              <w:jc w:val="center"/>
              <w:rPr>
                <w:rFonts w:ascii="宋体" w:hAnsi="宋体"/>
                <w:szCs w:val="21"/>
              </w:rPr>
            </w:pPr>
            <w:r>
              <w:rPr>
                <w:rFonts w:hint="eastAsia" w:ascii="宋体" w:hAnsi="宋体"/>
                <w:szCs w:val="21"/>
              </w:rPr>
              <w:t>3</w:t>
            </w:r>
          </w:p>
        </w:tc>
        <w:tc>
          <w:tcPr>
            <w:tcW w:w="2965" w:type="dxa"/>
            <w:vAlign w:val="center"/>
          </w:tcPr>
          <w:p>
            <w:pPr>
              <w:snapToGrid w:val="0"/>
              <w:spacing w:line="440" w:lineRule="exact"/>
              <w:jc w:val="center"/>
              <w:rPr>
                <w:rFonts w:ascii="宋体" w:hAnsi="宋体"/>
                <w:szCs w:val="21"/>
              </w:rPr>
            </w:pPr>
            <w:r>
              <w:rPr>
                <w:rFonts w:hint="eastAsia" w:ascii="宋体" w:hAnsi="宋体"/>
                <w:szCs w:val="21"/>
              </w:rPr>
              <w:t>导热系数</w:t>
            </w:r>
          </w:p>
        </w:tc>
        <w:tc>
          <w:tcPr>
            <w:tcW w:w="2570" w:type="dxa"/>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2560" w:type="dxa"/>
            <w:vAlign w:val="center"/>
          </w:tcPr>
          <w:p>
            <w:pPr>
              <w:spacing w:line="400" w:lineRule="exact"/>
              <w:jc w:val="center"/>
              <w:rPr>
                <w:rFonts w:ascii="宋体" w:hAnsi="宋体"/>
                <w:szCs w:val="21"/>
              </w:rPr>
            </w:pPr>
            <w:r>
              <w:rPr>
                <w:rFonts w:hint="eastAsia" w:ascii="宋体" w:hAnsi="宋体"/>
                <w:szCs w:val="21"/>
              </w:rPr>
              <w:t>GB/T 10294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vAlign w:val="center"/>
          </w:tcPr>
          <w:p>
            <w:pPr>
              <w:snapToGrid w:val="0"/>
              <w:spacing w:line="440" w:lineRule="exact"/>
              <w:jc w:val="center"/>
              <w:rPr>
                <w:rFonts w:ascii="宋体" w:hAnsi="宋体"/>
                <w:szCs w:val="21"/>
              </w:rPr>
            </w:pPr>
            <w:r>
              <w:rPr>
                <w:rFonts w:hint="eastAsia" w:ascii="宋体" w:hAnsi="宋体"/>
                <w:szCs w:val="21"/>
              </w:rPr>
              <w:t>4</w:t>
            </w:r>
          </w:p>
        </w:tc>
        <w:tc>
          <w:tcPr>
            <w:tcW w:w="2965" w:type="dxa"/>
            <w:vAlign w:val="center"/>
          </w:tcPr>
          <w:p>
            <w:pPr>
              <w:snapToGrid w:val="0"/>
              <w:spacing w:line="440" w:lineRule="exact"/>
              <w:jc w:val="center"/>
              <w:rPr>
                <w:rFonts w:ascii="宋体" w:hAnsi="宋体"/>
                <w:szCs w:val="21"/>
              </w:rPr>
            </w:pPr>
            <w:r>
              <w:rPr>
                <w:rFonts w:hint="eastAsia" w:ascii="宋体" w:hAnsi="宋体"/>
                <w:szCs w:val="21"/>
              </w:rPr>
              <w:t>吸水率</w:t>
            </w:r>
          </w:p>
        </w:tc>
        <w:tc>
          <w:tcPr>
            <w:tcW w:w="2570" w:type="dxa"/>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2560" w:type="dxa"/>
            <w:vAlign w:val="center"/>
          </w:tcPr>
          <w:p>
            <w:pPr>
              <w:spacing w:line="400" w:lineRule="exact"/>
              <w:jc w:val="center"/>
              <w:rPr>
                <w:rFonts w:ascii="宋体" w:hAnsi="宋体"/>
                <w:szCs w:val="21"/>
              </w:rPr>
            </w:pPr>
            <w:r>
              <w:rPr>
                <w:rFonts w:hint="eastAsia" w:ascii="宋体" w:hAnsi="宋体"/>
                <w:szCs w:val="21"/>
              </w:rPr>
              <w:t xml:space="preserve">GB/T </w:t>
            </w:r>
            <w:r>
              <w:rPr>
                <w:rFonts w:ascii="宋体" w:hAnsi="宋体"/>
                <w:szCs w:val="21"/>
              </w:rPr>
              <w:t>8810</w:t>
            </w:r>
          </w:p>
        </w:tc>
      </w:tr>
    </w:tbl>
    <w:p>
      <w:pPr>
        <w:snapToGrid w:val="0"/>
        <w:spacing w:before="156" w:beforeLines="50"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szCs w:val="21"/>
        </w:rPr>
      </w:pPr>
      <w:r>
        <w:rPr>
          <w:rFonts w:hint="eastAsia" w:ascii="宋体" w:hAnsi="宋体"/>
          <w:szCs w:val="21"/>
        </w:rPr>
        <w:t>GB/T 10801.1-2002 绝热用模塑聚苯乙烯泡沫塑料</w:t>
      </w:r>
    </w:p>
    <w:p>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C1B"/>
    <w:rsid w:val="0005627A"/>
    <w:rsid w:val="00070677"/>
    <w:rsid w:val="0007289B"/>
    <w:rsid w:val="000938BE"/>
    <w:rsid w:val="000B340C"/>
    <w:rsid w:val="000F47BD"/>
    <w:rsid w:val="001115F1"/>
    <w:rsid w:val="00121A44"/>
    <w:rsid w:val="00126693"/>
    <w:rsid w:val="00174107"/>
    <w:rsid w:val="00176416"/>
    <w:rsid w:val="00176B0C"/>
    <w:rsid w:val="001867DE"/>
    <w:rsid w:val="001B245E"/>
    <w:rsid w:val="001E40D1"/>
    <w:rsid w:val="001E4AA8"/>
    <w:rsid w:val="001F3FE8"/>
    <w:rsid w:val="00205360"/>
    <w:rsid w:val="00207F0B"/>
    <w:rsid w:val="002122B4"/>
    <w:rsid w:val="00240531"/>
    <w:rsid w:val="0025632A"/>
    <w:rsid w:val="00267D91"/>
    <w:rsid w:val="00272CA1"/>
    <w:rsid w:val="00277D59"/>
    <w:rsid w:val="00292F7F"/>
    <w:rsid w:val="002A7AFD"/>
    <w:rsid w:val="00311865"/>
    <w:rsid w:val="00360E00"/>
    <w:rsid w:val="003808FF"/>
    <w:rsid w:val="00382212"/>
    <w:rsid w:val="003A39D4"/>
    <w:rsid w:val="0043400D"/>
    <w:rsid w:val="004675D7"/>
    <w:rsid w:val="00471F18"/>
    <w:rsid w:val="00473779"/>
    <w:rsid w:val="004C13EF"/>
    <w:rsid w:val="004D6797"/>
    <w:rsid w:val="004E1C1B"/>
    <w:rsid w:val="00512059"/>
    <w:rsid w:val="00513180"/>
    <w:rsid w:val="005364E6"/>
    <w:rsid w:val="00547040"/>
    <w:rsid w:val="00553171"/>
    <w:rsid w:val="00556685"/>
    <w:rsid w:val="00591D14"/>
    <w:rsid w:val="005B3386"/>
    <w:rsid w:val="00605616"/>
    <w:rsid w:val="00622E51"/>
    <w:rsid w:val="00623104"/>
    <w:rsid w:val="006538F6"/>
    <w:rsid w:val="00681809"/>
    <w:rsid w:val="006C1714"/>
    <w:rsid w:val="006E1912"/>
    <w:rsid w:val="006E7112"/>
    <w:rsid w:val="00717DB7"/>
    <w:rsid w:val="00725683"/>
    <w:rsid w:val="00733AC6"/>
    <w:rsid w:val="00752F22"/>
    <w:rsid w:val="00757524"/>
    <w:rsid w:val="007618B1"/>
    <w:rsid w:val="007652FF"/>
    <w:rsid w:val="00812AE6"/>
    <w:rsid w:val="00813A0F"/>
    <w:rsid w:val="00814659"/>
    <w:rsid w:val="00815A58"/>
    <w:rsid w:val="00820273"/>
    <w:rsid w:val="00833FE3"/>
    <w:rsid w:val="0089712D"/>
    <w:rsid w:val="008C2A44"/>
    <w:rsid w:val="008C4CED"/>
    <w:rsid w:val="008C582C"/>
    <w:rsid w:val="008E46F3"/>
    <w:rsid w:val="008E6FAA"/>
    <w:rsid w:val="008F2870"/>
    <w:rsid w:val="009065F9"/>
    <w:rsid w:val="009137B2"/>
    <w:rsid w:val="00916257"/>
    <w:rsid w:val="009218FD"/>
    <w:rsid w:val="00923029"/>
    <w:rsid w:val="0097606A"/>
    <w:rsid w:val="009B0746"/>
    <w:rsid w:val="009C5D60"/>
    <w:rsid w:val="009E25FA"/>
    <w:rsid w:val="009E3FA0"/>
    <w:rsid w:val="00A02043"/>
    <w:rsid w:val="00A0626D"/>
    <w:rsid w:val="00A30649"/>
    <w:rsid w:val="00A335D9"/>
    <w:rsid w:val="00A520C4"/>
    <w:rsid w:val="00A67D77"/>
    <w:rsid w:val="00A86FE8"/>
    <w:rsid w:val="00A871CD"/>
    <w:rsid w:val="00A957C3"/>
    <w:rsid w:val="00AB2335"/>
    <w:rsid w:val="00AE66F8"/>
    <w:rsid w:val="00AF0ECD"/>
    <w:rsid w:val="00AF7D1B"/>
    <w:rsid w:val="00B13315"/>
    <w:rsid w:val="00B50BA4"/>
    <w:rsid w:val="00B61E92"/>
    <w:rsid w:val="00B90E8F"/>
    <w:rsid w:val="00B918EF"/>
    <w:rsid w:val="00BD6C92"/>
    <w:rsid w:val="00BE42E1"/>
    <w:rsid w:val="00C64E58"/>
    <w:rsid w:val="00C7476F"/>
    <w:rsid w:val="00CA1AE0"/>
    <w:rsid w:val="00CF15A0"/>
    <w:rsid w:val="00CF41B3"/>
    <w:rsid w:val="00D0415C"/>
    <w:rsid w:val="00D2319E"/>
    <w:rsid w:val="00D235D3"/>
    <w:rsid w:val="00D736E1"/>
    <w:rsid w:val="00DA34AF"/>
    <w:rsid w:val="00DB1A1F"/>
    <w:rsid w:val="00DC4B95"/>
    <w:rsid w:val="00DD5955"/>
    <w:rsid w:val="00E85A66"/>
    <w:rsid w:val="00EA7F52"/>
    <w:rsid w:val="00EB1677"/>
    <w:rsid w:val="00EF5E2D"/>
    <w:rsid w:val="00F05AD7"/>
    <w:rsid w:val="00F26910"/>
    <w:rsid w:val="00F75F78"/>
    <w:rsid w:val="00F762D5"/>
    <w:rsid w:val="00FC20E1"/>
    <w:rsid w:val="01F140AB"/>
    <w:rsid w:val="093A791D"/>
    <w:rsid w:val="1D961D06"/>
    <w:rsid w:val="1F783225"/>
    <w:rsid w:val="241F78E2"/>
    <w:rsid w:val="3EE73AC0"/>
    <w:rsid w:val="49A405B9"/>
    <w:rsid w:val="4C661FF5"/>
    <w:rsid w:val="4EDB168E"/>
    <w:rsid w:val="57C85A71"/>
    <w:rsid w:val="5A884655"/>
    <w:rsid w:val="652D6E8E"/>
    <w:rsid w:val="6ABD6742"/>
    <w:rsid w:val="6E021102"/>
    <w:rsid w:val="706914C2"/>
    <w:rsid w:val="77FD6DFE"/>
    <w:rsid w:val="793C630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sz w:val="32"/>
    </w:rPr>
  </w:style>
  <w:style w:type="paragraph" w:styleId="3">
    <w:name w:val="annotation text"/>
    <w:basedOn w:val="1"/>
    <w:unhideWhenUsed/>
    <w:uiPriority w:val="99"/>
    <w:pPr>
      <w:jc w:val="left"/>
    </w:p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styleId="9">
    <w:name w:val="annotation reference"/>
    <w:basedOn w:val="7"/>
    <w:unhideWhenUsed/>
    <w:uiPriority w:val="99"/>
    <w:rPr>
      <w:sz w:val="21"/>
      <w:szCs w:val="21"/>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脚 Char"/>
    <w:basedOn w:val="7"/>
    <w:qFormat/>
    <w:uiPriority w:val="99"/>
    <w:rPr>
      <w:sz w:val="18"/>
      <w:szCs w:val="18"/>
    </w:rPr>
  </w:style>
  <w:style w:type="character" w:customStyle="1" w:styleId="13">
    <w:name w:val="页眉 Char"/>
    <w:basedOn w:val="7"/>
    <w:qFormat/>
    <w:uiPriority w:val="99"/>
    <w:rPr>
      <w:sz w:val="18"/>
      <w:szCs w:val="18"/>
    </w:rPr>
  </w:style>
  <w:style w:type="character" w:customStyle="1" w:styleId="14">
    <w:name w:val="页脚 Char1"/>
    <w:basedOn w:val="7"/>
    <w:link w:val="5"/>
    <w:semiHidden/>
    <w:qFormat/>
    <w:uiPriority w:val="99"/>
    <w:rPr>
      <w:rFonts w:ascii="Times New Roman" w:hAnsi="Times New Roman" w:eastAsia="宋体" w:cs="Times New Roman"/>
      <w:sz w:val="18"/>
      <w:szCs w:val="18"/>
    </w:rPr>
  </w:style>
  <w:style w:type="character" w:customStyle="1" w:styleId="15">
    <w:name w:val="页眉 Char1"/>
    <w:basedOn w:val="7"/>
    <w:link w:val="6"/>
    <w:semiHidden/>
    <w:qFormat/>
    <w:uiPriority w:val="99"/>
    <w:rPr>
      <w:rFonts w:ascii="Times New Roman" w:hAnsi="Times New Roman" w:eastAsia="宋体" w:cs="Times New Roman"/>
      <w:sz w:val="18"/>
      <w:szCs w:val="18"/>
    </w:rPr>
  </w:style>
  <w:style w:type="character" w:customStyle="1" w:styleId="16">
    <w:name w:val="批注框文本 Char"/>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145</Words>
  <Characters>828</Characters>
  <Lines>6</Lines>
  <Paragraphs>1</Paragraphs>
  <TotalTime>0</TotalTime>
  <ScaleCrop>false</ScaleCrop>
  <LinksUpToDate>false</LinksUpToDate>
  <CharactersWithSpaces>972</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2021-08-14T15:50:00Z</dcterms:created>
  <dc:creator>pc</dc:creator>
  <cp:lastModifiedBy>张健</cp:lastModifiedBy>
  <dcterms:modified xsi:type="dcterms:W3CDTF">2021-08-24T07:13:40Z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1A0865405D0D434F8CD9EA8E4FFE30F8</vt:lpwstr>
  </property>
</Properties>
</file>