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AC" w:rsidRDefault="00F14EAC">
      <w:pPr>
        <w:tabs>
          <w:tab w:val="left" w:pos="3792"/>
        </w:tabs>
        <w:spacing w:line="540" w:lineRule="exact"/>
      </w:pPr>
      <w:bookmarkStart w:id="0" w:name="zw"/>
      <w:bookmarkStart w:id="1" w:name="_GoBack"/>
      <w:bookmarkEnd w:id="0"/>
      <w:bookmarkEnd w:id="1"/>
    </w:p>
    <w:p w:rsidR="00F14EAC" w:rsidRDefault="00F14EAC">
      <w:pPr>
        <w:pStyle w:val="a3"/>
        <w:spacing w:after="0" w:line="540" w:lineRule="exact"/>
      </w:pPr>
    </w:p>
    <w:p w:rsidR="00F14EAC" w:rsidRDefault="00902EAF">
      <w:pPr>
        <w:spacing w:line="540" w:lineRule="exact"/>
        <w:jc w:val="center"/>
        <w:rPr>
          <w:rFonts w:eastAsia="方正小标宋_GBK"/>
          <w:sz w:val="44"/>
          <w:szCs w:val="44"/>
        </w:rPr>
      </w:pPr>
      <w:r>
        <w:rPr>
          <w:rFonts w:eastAsia="方正小标宋_GBK" w:hint="eastAsia"/>
          <w:sz w:val="44"/>
          <w:szCs w:val="44"/>
        </w:rPr>
        <w:t>重庆市</w:t>
      </w:r>
      <w:r>
        <w:rPr>
          <w:rFonts w:eastAsia="方正小标宋_GBK"/>
          <w:sz w:val="44"/>
          <w:szCs w:val="44"/>
        </w:rPr>
        <w:t>市场监督管理局</w:t>
      </w:r>
    </w:p>
    <w:p w:rsidR="00F14EAC" w:rsidRDefault="00902EAF">
      <w:pPr>
        <w:spacing w:line="540" w:lineRule="exact"/>
        <w:jc w:val="center"/>
        <w:rPr>
          <w:rFonts w:eastAsia="方正小标宋_GBK"/>
          <w:sz w:val="44"/>
          <w:szCs w:val="44"/>
        </w:rPr>
      </w:pPr>
      <w:r>
        <w:rPr>
          <w:rFonts w:eastAsia="方正小标宋_GBK"/>
          <w:sz w:val="44"/>
          <w:szCs w:val="44"/>
        </w:rPr>
        <w:t>关于</w:t>
      </w:r>
      <w:r>
        <w:rPr>
          <w:rFonts w:eastAsia="方正小标宋_GBK" w:hint="eastAsia"/>
          <w:sz w:val="44"/>
          <w:szCs w:val="44"/>
        </w:rPr>
        <w:t>餐饮服务食品安全</w:t>
      </w:r>
      <w:r>
        <w:rPr>
          <w:rFonts w:eastAsia="方正小标宋_GBK"/>
          <w:sz w:val="44"/>
          <w:szCs w:val="44"/>
        </w:rPr>
        <w:t>监督检查</w:t>
      </w:r>
      <w:r>
        <w:rPr>
          <w:rFonts w:eastAsia="方正小标宋_GBK" w:hint="eastAsia"/>
          <w:sz w:val="44"/>
          <w:szCs w:val="44"/>
        </w:rPr>
        <w:t>指导</w:t>
      </w:r>
      <w:r>
        <w:rPr>
          <w:rFonts w:eastAsia="方正小标宋_GBK"/>
          <w:sz w:val="44"/>
          <w:szCs w:val="44"/>
        </w:rPr>
        <w:t>意见</w:t>
      </w:r>
    </w:p>
    <w:p w:rsidR="00F14EAC" w:rsidRDefault="00902EAF">
      <w:pPr>
        <w:jc w:val="center"/>
      </w:pPr>
      <w:r>
        <w:rPr>
          <w:rFonts w:hint="eastAsia"/>
        </w:rPr>
        <w:t>渝市监发</w:t>
      </w:r>
      <w:r>
        <w:rPr>
          <w:color w:val="000000"/>
        </w:rPr>
        <w:t>〔</w:t>
      </w:r>
      <w:r>
        <w:rPr>
          <w:rFonts w:hint="eastAsia"/>
          <w:color w:val="000000"/>
        </w:rPr>
        <w:t>2022</w:t>
      </w:r>
      <w:r>
        <w:rPr>
          <w:color w:val="000000"/>
        </w:rPr>
        <w:t>〕</w:t>
      </w:r>
      <w:r>
        <w:rPr>
          <w:rFonts w:hint="eastAsia"/>
          <w:color w:val="000000"/>
        </w:rPr>
        <w:t>71</w:t>
      </w:r>
      <w:r>
        <w:rPr>
          <w:color w:val="000000"/>
        </w:rPr>
        <w:t>号</w:t>
      </w:r>
    </w:p>
    <w:p w:rsidR="00F14EAC" w:rsidRDefault="00F14EAC">
      <w:pPr>
        <w:spacing w:line="600" w:lineRule="exact"/>
        <w:jc w:val="center"/>
        <w:rPr>
          <w:rFonts w:ascii="方正仿宋_GBK" w:hAnsi="方正小标宋_GBK" w:cs="方正小标宋_GBK"/>
          <w:bCs/>
          <w:szCs w:val="32"/>
        </w:rPr>
      </w:pPr>
    </w:p>
    <w:p w:rsidR="00F14EAC" w:rsidRDefault="00902EAF">
      <w:pPr>
        <w:spacing w:line="580" w:lineRule="exact"/>
        <w:rPr>
          <w:szCs w:val="32"/>
        </w:rPr>
      </w:pPr>
      <w:r>
        <w:rPr>
          <w:rFonts w:hint="eastAsia"/>
          <w:szCs w:val="32"/>
        </w:rPr>
        <w:t>各区县局：</w:t>
      </w:r>
    </w:p>
    <w:p w:rsidR="00F14EAC" w:rsidRDefault="00902EAF">
      <w:pPr>
        <w:spacing w:line="580" w:lineRule="exact"/>
        <w:ind w:firstLineChars="200" w:firstLine="632"/>
        <w:rPr>
          <w:szCs w:val="32"/>
        </w:rPr>
      </w:pPr>
      <w:r>
        <w:rPr>
          <w:rFonts w:hint="eastAsia"/>
          <w:szCs w:val="32"/>
        </w:rPr>
        <w:t>为贯彻落实《食品生产经营监督检查管理办法》（国家市场监督管理总局令第</w:t>
      </w:r>
      <w:r>
        <w:rPr>
          <w:rFonts w:hint="eastAsia"/>
          <w:szCs w:val="32"/>
        </w:rPr>
        <w:t>49</w:t>
      </w:r>
      <w:r>
        <w:rPr>
          <w:rFonts w:hint="eastAsia"/>
          <w:szCs w:val="32"/>
        </w:rPr>
        <w:t>号）和《市场监管总局办公厅关于印发食品生产经营监督检查有关表格的通知》（市监食生发〔</w:t>
      </w:r>
      <w:r>
        <w:rPr>
          <w:rFonts w:hint="eastAsia"/>
          <w:szCs w:val="32"/>
        </w:rPr>
        <w:t>2022</w:t>
      </w:r>
      <w:r>
        <w:rPr>
          <w:rFonts w:hint="eastAsia"/>
          <w:szCs w:val="32"/>
        </w:rPr>
        <w:t>〕</w:t>
      </w:r>
      <w:r>
        <w:rPr>
          <w:rFonts w:hint="eastAsia"/>
          <w:szCs w:val="32"/>
        </w:rPr>
        <w:t>18</w:t>
      </w:r>
      <w:r>
        <w:rPr>
          <w:rFonts w:hint="eastAsia"/>
          <w:szCs w:val="32"/>
        </w:rPr>
        <w:t>号）要求，有序开展餐饮服务食品安全监督检查活动，督促各类餐饮服务提供者有效落实食品安全主体责任，推进餐饮服务食品安全监督检查规范化、信息化、智慧化，经市局</w:t>
      </w:r>
      <w:r>
        <w:rPr>
          <w:rFonts w:hint="eastAsia"/>
          <w:szCs w:val="32"/>
        </w:rPr>
        <w:t>2022</w:t>
      </w:r>
      <w:r>
        <w:rPr>
          <w:rFonts w:hint="eastAsia"/>
          <w:szCs w:val="32"/>
        </w:rPr>
        <w:t>年度第</w:t>
      </w:r>
      <w:r>
        <w:rPr>
          <w:rFonts w:hint="eastAsia"/>
          <w:szCs w:val="32"/>
        </w:rPr>
        <w:t>10</w:t>
      </w:r>
      <w:r>
        <w:rPr>
          <w:rFonts w:hint="eastAsia"/>
          <w:szCs w:val="32"/>
        </w:rPr>
        <w:t>次局长办公会审议同意</w:t>
      </w:r>
      <w:r>
        <w:rPr>
          <w:szCs w:val="32"/>
        </w:rPr>
        <w:t>，</w:t>
      </w:r>
      <w:r>
        <w:rPr>
          <w:rFonts w:hint="eastAsia"/>
          <w:szCs w:val="32"/>
        </w:rPr>
        <w:t>现</w:t>
      </w:r>
      <w:r>
        <w:rPr>
          <w:szCs w:val="32"/>
        </w:rPr>
        <w:t>提出以下</w:t>
      </w:r>
      <w:r>
        <w:rPr>
          <w:rFonts w:hint="eastAsia"/>
          <w:szCs w:val="32"/>
        </w:rPr>
        <w:t>指导</w:t>
      </w:r>
      <w:r>
        <w:rPr>
          <w:szCs w:val="32"/>
        </w:rPr>
        <w:t>意见。</w:t>
      </w:r>
      <w:r>
        <w:rPr>
          <w:rFonts w:hint="eastAsia"/>
          <w:szCs w:val="32"/>
        </w:rPr>
        <w:t xml:space="preserve"> </w:t>
      </w:r>
    </w:p>
    <w:p w:rsidR="00F14EAC" w:rsidRDefault="00902EAF">
      <w:pPr>
        <w:spacing w:line="580" w:lineRule="exact"/>
        <w:ind w:firstLineChars="200" w:firstLine="632"/>
        <w:rPr>
          <w:rFonts w:eastAsia="方正黑体_GBK"/>
          <w:szCs w:val="32"/>
        </w:rPr>
      </w:pPr>
      <w:r>
        <w:rPr>
          <w:rFonts w:eastAsia="方正黑体_GBK" w:hint="eastAsia"/>
          <w:szCs w:val="32"/>
        </w:rPr>
        <w:t>一、摸清底数分级分类到人</w:t>
      </w:r>
    </w:p>
    <w:p w:rsidR="00F14EAC" w:rsidRDefault="00902EAF">
      <w:pPr>
        <w:adjustRightInd w:val="0"/>
        <w:spacing w:line="580" w:lineRule="exact"/>
        <w:ind w:firstLineChars="200" w:firstLine="632"/>
        <w:rPr>
          <w:rFonts w:ascii="方正仿宋_GBK" w:hAnsi="方正仿宋_GBK" w:cs="方正仿宋_GBK"/>
          <w:szCs w:val="32"/>
        </w:rPr>
      </w:pPr>
      <w:r>
        <w:rPr>
          <w:rFonts w:ascii="方正仿宋_GBK" w:hAnsi="方正仿宋_GBK" w:cs="方正仿宋_GBK" w:hint="eastAsia"/>
          <w:szCs w:val="32"/>
        </w:rPr>
        <w:t>各区县局要通过许可系统、食品安全智慧监管系统等信息化渠道对辖区各类餐饮服务提供者进行全面摸排，及时依法注销经营有效期届满或主体资格依法终止而未按规定注销食品经营许可的“死户”“空户”；对存续经营的餐饮服务提供者许可业态和实际经营状况的线上线下信息是否一致进行认真核实，及时纠错，实现业态准、情况清</w:t>
      </w:r>
      <w:r>
        <w:rPr>
          <w:rFonts w:ascii="方正仿宋_GBK" w:hAnsi="方正仿宋_GBK" w:cs="方正仿宋_GBK"/>
          <w:szCs w:val="32"/>
        </w:rPr>
        <w:t>、底数明</w:t>
      </w:r>
      <w:r>
        <w:rPr>
          <w:rFonts w:ascii="方正仿宋_GBK" w:hAnsi="方正仿宋_GBK" w:cs="方正仿宋_GBK" w:hint="eastAsia"/>
          <w:szCs w:val="32"/>
        </w:rPr>
        <w:t>、不漏不缺，在此基础上合理分配</w:t>
      </w:r>
      <w:r>
        <w:rPr>
          <w:rFonts w:ascii="方正仿宋_GBK" w:hAnsi="方正仿宋_GBK" w:cs="方正仿宋_GBK" w:hint="eastAsia"/>
          <w:szCs w:val="32"/>
        </w:rPr>
        <w:lastRenderedPageBreak/>
        <w:t>辖区监管网格。在餐饮服务提供者首次办理经营许可时，要对该市场主体所属辖区的监管网格（乡镇或街道，社区或村）进行仔细标注。乡镇（街道）食品安全监管机构要在</w:t>
      </w:r>
      <w:r>
        <w:rPr>
          <w:rFonts w:ascii="方正仿宋_GBK" w:hAnsi="方正仿宋_GBK" w:cs="方正仿宋_GBK" w:hint="eastAsia"/>
          <w:szCs w:val="32"/>
        </w:rPr>
        <w:t>智慧监管系统中对监管网格内对应的基层监管人员、村社食品安全协管员进行动态管理，实现餐饮服务提供者与基层监管人员、村社食品安全协管员一一对应，做到监管责任精确到人，实现餐饮服务日常监督检查“有人、有岗、有责”。</w:t>
      </w:r>
    </w:p>
    <w:p w:rsidR="00F14EAC" w:rsidRDefault="00902EAF">
      <w:pPr>
        <w:adjustRightInd w:val="0"/>
        <w:spacing w:line="580" w:lineRule="exact"/>
        <w:ind w:firstLineChars="200" w:firstLine="632"/>
        <w:rPr>
          <w:rFonts w:ascii="方正仿宋_GBK" w:hAnsi="方正仿宋_GBK" w:cs="方正仿宋_GBK"/>
          <w:szCs w:val="32"/>
        </w:rPr>
      </w:pPr>
      <w:r>
        <w:rPr>
          <w:rFonts w:ascii="方正仿宋_GBK" w:hAnsi="方正仿宋_GBK" w:cs="方正仿宋_GBK" w:hint="eastAsia"/>
          <w:szCs w:val="32"/>
        </w:rPr>
        <w:t>各基层监管人员要根据风险管理的原则，对新开办的餐饮服务提供者在</w:t>
      </w:r>
      <w:r>
        <w:rPr>
          <w:szCs w:val="32"/>
        </w:rPr>
        <w:t>30</w:t>
      </w:r>
      <w:r>
        <w:rPr>
          <w:szCs w:val="32"/>
        </w:rPr>
        <w:t>个工作日内开展</w:t>
      </w:r>
      <w:r>
        <w:rPr>
          <w:rFonts w:ascii="方正仿宋_GBK" w:hAnsi="方正仿宋_GBK" w:cs="方正仿宋_GBK" w:hint="eastAsia"/>
          <w:szCs w:val="32"/>
        </w:rPr>
        <w:t>风险等级评定，同时指导其注册使用“重庆阳光食品”</w:t>
      </w:r>
      <w:r>
        <w:rPr>
          <w:szCs w:val="32"/>
        </w:rPr>
        <w:t>APP</w:t>
      </w:r>
      <w:r>
        <w:rPr>
          <w:szCs w:val="32"/>
        </w:rPr>
        <w:t>开展食品安全自查。各区县局要根据当年餐饮服务提供者日常监督</w:t>
      </w:r>
      <w:r>
        <w:rPr>
          <w:rFonts w:ascii="方正仿宋_GBK" w:hAnsi="方正仿宋_GBK" w:cs="方正仿宋_GBK" w:hint="eastAsia"/>
          <w:szCs w:val="32"/>
        </w:rPr>
        <w:t>检查、监督抽检、违法行为查处、食品安全事故应对或获得区县级以上部门奖励、通过食品安全体系认证等情况，对其下一年</w:t>
      </w:r>
      <w:r>
        <w:rPr>
          <w:rFonts w:ascii="方正仿宋_GBK" w:hAnsi="方正仿宋_GBK" w:cs="方正仿宋_GBK" w:hint="eastAsia"/>
          <w:szCs w:val="32"/>
        </w:rPr>
        <w:t>度风险等级进行动态调整。鼓励有条件的区县局聘请第三方机构参与风险等级评定工作。</w:t>
      </w:r>
    </w:p>
    <w:p w:rsidR="00F14EAC" w:rsidRDefault="00902EAF">
      <w:pPr>
        <w:spacing w:line="580" w:lineRule="exact"/>
        <w:ind w:firstLineChars="200" w:firstLine="632"/>
        <w:rPr>
          <w:rFonts w:eastAsia="方正黑体_GBK"/>
          <w:szCs w:val="32"/>
        </w:rPr>
      </w:pPr>
      <w:r>
        <w:rPr>
          <w:rFonts w:eastAsia="方正黑体_GBK" w:hint="eastAsia"/>
          <w:szCs w:val="32"/>
        </w:rPr>
        <w:t>二、明确监督检查要点</w:t>
      </w:r>
    </w:p>
    <w:p w:rsidR="00F14EAC" w:rsidRDefault="00902EAF">
      <w:pPr>
        <w:adjustRightInd w:val="0"/>
        <w:spacing w:line="580" w:lineRule="exact"/>
        <w:ind w:firstLineChars="200" w:firstLine="632"/>
        <w:rPr>
          <w:rFonts w:ascii="方正仿宋_GBK" w:hAnsi="方正仿宋_GBK" w:cs="方正仿宋_GBK"/>
          <w:szCs w:val="32"/>
        </w:rPr>
      </w:pPr>
      <w:r>
        <w:rPr>
          <w:rFonts w:ascii="方正仿宋_GBK" w:hAnsi="方正仿宋_GBK" w:cs="方正仿宋_GBK" w:hint="eastAsia"/>
          <w:szCs w:val="32"/>
        </w:rPr>
        <w:t>我市餐饮服务食品安全监督检查内容主要包括餐饮服务提供者资质及公示、从业人员健康管理、原料控制、加工制作过程、食品添加剂使用管理、供餐备餐与配</w:t>
      </w:r>
      <w:r>
        <w:rPr>
          <w:szCs w:val="32"/>
        </w:rPr>
        <w:t>送、场所和设备设施清洁维护、餐饮具清洗消毒、食品安全管理和制止餐饮浪费等方面，细化为《重庆市餐饮服务食品安全监督检查要点表》（见附件</w:t>
      </w:r>
      <w:r>
        <w:rPr>
          <w:szCs w:val="32"/>
        </w:rPr>
        <w:t>1</w:t>
      </w:r>
      <w:r>
        <w:rPr>
          <w:szCs w:val="32"/>
        </w:rPr>
        <w:t>）共</w:t>
      </w:r>
      <w:r>
        <w:rPr>
          <w:szCs w:val="32"/>
        </w:rPr>
        <w:t>72</w:t>
      </w:r>
      <w:r>
        <w:rPr>
          <w:szCs w:val="32"/>
        </w:rPr>
        <w:t>项。其中，重点检查项</w:t>
      </w:r>
      <w:r>
        <w:rPr>
          <w:szCs w:val="32"/>
        </w:rPr>
        <w:t>21</w:t>
      </w:r>
      <w:r>
        <w:rPr>
          <w:szCs w:val="32"/>
        </w:rPr>
        <w:t>项；一般检查项</w:t>
      </w:r>
      <w:r>
        <w:rPr>
          <w:szCs w:val="32"/>
        </w:rPr>
        <w:t>51</w:t>
      </w:r>
      <w:r>
        <w:rPr>
          <w:szCs w:val="32"/>
        </w:rPr>
        <w:t>项。根据餐饮业</w:t>
      </w:r>
      <w:r>
        <w:rPr>
          <w:szCs w:val="32"/>
        </w:rPr>
        <w:lastRenderedPageBreak/>
        <w:t>态风险程度和关键控制环节不同，对各类餐饮服务提供者监督检查要点进行了分类</w:t>
      </w:r>
      <w:r>
        <w:rPr>
          <w:szCs w:val="32"/>
        </w:rPr>
        <w:t>，中型以上餐饮服务经营者推荐检查要点</w:t>
      </w:r>
      <w:r>
        <w:rPr>
          <w:szCs w:val="32"/>
        </w:rPr>
        <w:t>57</w:t>
      </w:r>
      <w:r>
        <w:rPr>
          <w:szCs w:val="32"/>
        </w:rPr>
        <w:t>项，小微型餐饮服务经营者推荐检查要点</w:t>
      </w:r>
      <w:r>
        <w:rPr>
          <w:szCs w:val="32"/>
        </w:rPr>
        <w:t>21</w:t>
      </w:r>
      <w:r>
        <w:rPr>
          <w:szCs w:val="32"/>
        </w:rPr>
        <w:t>项，学校食堂</w:t>
      </w:r>
      <w:r>
        <w:rPr>
          <w:rFonts w:ascii="方正仿宋_GBK" w:hAnsi="方正仿宋_GBK" w:cs="方正仿宋_GBK" w:hint="eastAsia"/>
          <w:szCs w:val="32"/>
        </w:rPr>
        <w:t>推荐检查要</w:t>
      </w:r>
      <w:r>
        <w:rPr>
          <w:szCs w:val="32"/>
        </w:rPr>
        <w:t>点</w:t>
      </w:r>
      <w:r>
        <w:rPr>
          <w:szCs w:val="32"/>
        </w:rPr>
        <w:t>50</w:t>
      </w:r>
      <w:r>
        <w:rPr>
          <w:szCs w:val="32"/>
        </w:rPr>
        <w:t>项，养老机构食堂和医疗机构食堂推荐检查要点</w:t>
      </w:r>
      <w:r>
        <w:rPr>
          <w:szCs w:val="32"/>
        </w:rPr>
        <w:t>31</w:t>
      </w:r>
      <w:r>
        <w:rPr>
          <w:szCs w:val="32"/>
        </w:rPr>
        <w:t>项，一般企事业单位食堂和建筑工地食堂推荐检查要点</w:t>
      </w:r>
      <w:r>
        <w:rPr>
          <w:szCs w:val="32"/>
        </w:rPr>
        <w:t>16</w:t>
      </w:r>
      <w:r>
        <w:rPr>
          <w:szCs w:val="32"/>
        </w:rPr>
        <w:t>项，中央厨房推荐检查要点</w:t>
      </w:r>
      <w:r>
        <w:rPr>
          <w:szCs w:val="32"/>
        </w:rPr>
        <w:t>55</w:t>
      </w:r>
      <w:r>
        <w:rPr>
          <w:szCs w:val="32"/>
        </w:rPr>
        <w:t>项，集体用餐配送单位推荐检查要点</w:t>
      </w:r>
      <w:r>
        <w:rPr>
          <w:szCs w:val="32"/>
        </w:rPr>
        <w:t>57</w:t>
      </w:r>
      <w:r>
        <w:rPr>
          <w:szCs w:val="32"/>
        </w:rPr>
        <w:t>项，</w:t>
      </w:r>
      <w:r>
        <w:rPr>
          <w:szCs w:val="32"/>
          <w:lang w:val="zh-CN"/>
        </w:rPr>
        <w:t>食品自动制售经营者</w:t>
      </w:r>
      <w:r>
        <w:rPr>
          <w:szCs w:val="32"/>
        </w:rPr>
        <w:t>检查要点</w:t>
      </w:r>
      <w:r>
        <w:rPr>
          <w:szCs w:val="32"/>
        </w:rPr>
        <w:t>25</w:t>
      </w:r>
      <w:r>
        <w:rPr>
          <w:szCs w:val="32"/>
        </w:rPr>
        <w:t>项，餐饮摊贩和家庭宴席服务经营者分别推荐检查</w:t>
      </w:r>
      <w:r>
        <w:rPr>
          <w:szCs w:val="32"/>
        </w:rPr>
        <w:t>9</w:t>
      </w:r>
      <w:r>
        <w:rPr>
          <w:szCs w:val="32"/>
        </w:rPr>
        <w:t>项和</w:t>
      </w:r>
      <w:r>
        <w:rPr>
          <w:szCs w:val="32"/>
        </w:rPr>
        <w:t>10</w:t>
      </w:r>
      <w:r>
        <w:rPr>
          <w:szCs w:val="32"/>
        </w:rPr>
        <w:t>项。为提高监督检查效率，各类餐饮服务提供者食品安全监督检查要点表</w:t>
      </w:r>
      <w:r>
        <w:rPr>
          <w:rFonts w:ascii="方正仿宋_GBK" w:hAnsi="方正仿宋_GBK" w:cs="方正仿宋_GBK" w:hint="eastAsia"/>
          <w:szCs w:val="32"/>
        </w:rPr>
        <w:t>已通过“重庆市市场监督管理局食品安全监管”</w:t>
      </w:r>
      <w:r>
        <w:rPr>
          <w:szCs w:val="32"/>
        </w:rPr>
        <w:t>APP</w:t>
      </w:r>
      <w:r>
        <w:rPr>
          <w:szCs w:val="32"/>
        </w:rPr>
        <w:t>（以下简称监管</w:t>
      </w:r>
      <w:r>
        <w:rPr>
          <w:szCs w:val="32"/>
        </w:rPr>
        <w:t>APP</w:t>
      </w:r>
      <w:r>
        <w:rPr>
          <w:szCs w:val="32"/>
        </w:rPr>
        <w:t>）进行了自动匹配，监督检查人员在现场检查中搜索餐饮</w:t>
      </w:r>
      <w:r>
        <w:rPr>
          <w:rFonts w:ascii="方正仿宋_GBK" w:hAnsi="方正仿宋_GBK" w:cs="方正仿宋_GBK" w:hint="eastAsia"/>
          <w:szCs w:val="32"/>
        </w:rPr>
        <w:t>服务提供者具体名称即可开展检查。</w:t>
      </w:r>
    </w:p>
    <w:p w:rsidR="00F14EAC" w:rsidRDefault="00902EAF">
      <w:pPr>
        <w:spacing w:line="580" w:lineRule="exact"/>
        <w:ind w:firstLineChars="200" w:firstLine="632"/>
        <w:rPr>
          <w:rFonts w:eastAsia="方正黑体_GBK"/>
          <w:szCs w:val="32"/>
        </w:rPr>
      </w:pPr>
      <w:r>
        <w:rPr>
          <w:rFonts w:eastAsia="方正黑体_GBK" w:hint="eastAsia"/>
          <w:szCs w:val="32"/>
        </w:rPr>
        <w:t>三、规范</w:t>
      </w:r>
      <w:r>
        <w:rPr>
          <w:rFonts w:eastAsia="方正黑体_GBK"/>
          <w:szCs w:val="32"/>
        </w:rPr>
        <w:t>监督检查</w:t>
      </w:r>
      <w:r>
        <w:rPr>
          <w:rFonts w:eastAsia="方正黑体_GBK" w:hint="eastAsia"/>
          <w:szCs w:val="32"/>
        </w:rPr>
        <w:t>类型</w:t>
      </w:r>
    </w:p>
    <w:p w:rsidR="00F14EAC" w:rsidRDefault="00902EAF">
      <w:pPr>
        <w:spacing w:line="580" w:lineRule="exact"/>
        <w:ind w:firstLineChars="200" w:firstLine="632"/>
        <w:rPr>
          <w:rFonts w:ascii="方正仿宋_GBK" w:hAnsi="方正仿宋_GBK" w:cs="方正仿宋_GBK"/>
          <w:szCs w:val="32"/>
        </w:rPr>
      </w:pPr>
      <w:r>
        <w:rPr>
          <w:rFonts w:ascii="方正仿宋_GBK" w:hAnsi="方正仿宋_GBK" w:cs="方正仿宋_GBK" w:hint="eastAsia"/>
          <w:szCs w:val="32"/>
        </w:rPr>
        <w:t>我市餐饮服务食品安全监督检查分为现场检查和远程检查。其中，现场检查</w:t>
      </w:r>
      <w:r>
        <w:rPr>
          <w:szCs w:val="32"/>
        </w:rPr>
        <w:t>包括</w:t>
      </w:r>
      <w:r>
        <w:rPr>
          <w:szCs w:val="32"/>
        </w:rPr>
        <w:t>日常检查、飞行检查、体系检查</w:t>
      </w:r>
      <w:r>
        <w:rPr>
          <w:szCs w:val="32"/>
        </w:rPr>
        <w:t>3</w:t>
      </w:r>
      <w:r>
        <w:rPr>
          <w:szCs w:val="32"/>
        </w:rPr>
        <w:t>类。市场监管部门组织现场检查时，应当由</w:t>
      </w:r>
      <w:r>
        <w:rPr>
          <w:szCs w:val="32"/>
        </w:rPr>
        <w:t>2</w:t>
      </w:r>
      <w:r>
        <w:rPr>
          <w:szCs w:val="32"/>
        </w:rPr>
        <w:t>名以上（含</w:t>
      </w:r>
      <w:r>
        <w:rPr>
          <w:szCs w:val="32"/>
        </w:rPr>
        <w:t>2</w:t>
      </w:r>
      <w:r>
        <w:rPr>
          <w:szCs w:val="32"/>
        </w:rPr>
        <w:t>名）监督检查人员参加，根据需要可以聘请相关领域</w:t>
      </w:r>
      <w:r>
        <w:rPr>
          <w:rFonts w:ascii="方正仿宋_GBK" w:hAnsi="方正仿宋_GBK" w:cs="方正仿宋_GBK" w:hint="eastAsia"/>
          <w:szCs w:val="32"/>
        </w:rPr>
        <w:t>专业技术人员参与，检查人员要遵循“回避原则”；具体检查方法包括现场核查、资料审查、现场询问等。监督检查人员要当场出示有效执法证件或市场监督管理部门出具的检查任</w:t>
      </w:r>
      <w:r>
        <w:rPr>
          <w:szCs w:val="32"/>
        </w:rPr>
        <w:t>务书；佩戴执法记录仪全程</w:t>
      </w:r>
      <w:r>
        <w:rPr>
          <w:szCs w:val="32"/>
        </w:rPr>
        <w:t>拍摄检查情况，必要时收集或者复印相关合同、票据、账簿以及其他有关资料。检查均需通过监管</w:t>
      </w:r>
      <w:r>
        <w:rPr>
          <w:szCs w:val="32"/>
        </w:rPr>
        <w:t>APP</w:t>
      </w:r>
      <w:r>
        <w:rPr>
          <w:szCs w:val="32"/>
        </w:rPr>
        <w:t>进</w:t>
      </w:r>
      <w:r>
        <w:rPr>
          <w:rFonts w:ascii="方正仿宋_GBK" w:hAnsi="方正仿宋_GBK" w:cs="方正仿宋_GBK" w:hint="eastAsia"/>
          <w:szCs w:val="32"/>
        </w:rPr>
        <w:t>行。</w:t>
      </w:r>
    </w:p>
    <w:p w:rsidR="00F14EAC" w:rsidRDefault="00902EAF">
      <w:pPr>
        <w:spacing w:line="580" w:lineRule="exact"/>
        <w:ind w:firstLineChars="200" w:firstLine="632"/>
        <w:rPr>
          <w:rFonts w:ascii="方正仿宋_GBK" w:hAnsi="方正仿宋_GBK" w:cs="方正仿宋_GBK"/>
          <w:szCs w:val="32"/>
        </w:rPr>
      </w:pPr>
      <w:r>
        <w:rPr>
          <w:rFonts w:ascii="方正楷体_GBK" w:eastAsia="方正楷体_GBK" w:hAnsi="方正楷体_GBK" w:cs="方正楷体_GBK" w:hint="eastAsia"/>
          <w:szCs w:val="32"/>
        </w:rPr>
        <w:t>（一）日常检查。</w:t>
      </w:r>
      <w:r>
        <w:rPr>
          <w:rFonts w:ascii="方正仿宋_GBK" w:hAnsi="方正仿宋_GBK" w:cs="方正仿宋_GBK" w:hint="eastAsia"/>
          <w:szCs w:val="32"/>
        </w:rPr>
        <w:t>由网格内的监管人员按照</w:t>
      </w:r>
      <w:r>
        <w:rPr>
          <w:rFonts w:ascii="仿宋" w:eastAsia="仿宋" w:hAnsi="仿宋" w:cs="仿宋" w:hint="eastAsia"/>
          <w:szCs w:val="32"/>
        </w:rPr>
        <w:t>年度监督检查计划开展的</w:t>
      </w:r>
      <w:r>
        <w:rPr>
          <w:rFonts w:ascii="方正仿宋_GBK" w:hAnsi="方正仿宋_GBK" w:cs="方正仿宋_GBK" w:hint="eastAsia"/>
          <w:szCs w:val="32"/>
        </w:rPr>
        <w:t>现场检查</w:t>
      </w:r>
      <w:r>
        <w:rPr>
          <w:rFonts w:ascii="仿宋" w:eastAsia="仿宋" w:hAnsi="仿宋" w:cs="仿宋" w:hint="eastAsia"/>
          <w:szCs w:val="32"/>
        </w:rPr>
        <w:t>，也包括由</w:t>
      </w:r>
      <w:r>
        <w:rPr>
          <w:rFonts w:ascii="方正仿宋_GBK" w:hAnsi="方正仿宋_GBK" w:cs="方正仿宋_GBK" w:hint="eastAsia"/>
          <w:szCs w:val="32"/>
        </w:rPr>
        <w:t>市场监管所或区县局确定的监管人员因重大活动保障、专项整治、投诉举报处置、突发事件应对等开展的专项检查。</w:t>
      </w:r>
    </w:p>
    <w:p w:rsidR="00F14EAC" w:rsidRDefault="00902EAF">
      <w:pPr>
        <w:spacing w:line="580" w:lineRule="exact"/>
        <w:ind w:firstLineChars="200" w:firstLine="632"/>
        <w:rPr>
          <w:rFonts w:ascii="方正仿宋_GBK" w:hAnsi="方正仿宋_GBK" w:cs="方正仿宋_GBK"/>
          <w:szCs w:val="32"/>
        </w:rPr>
      </w:pPr>
      <w:r>
        <w:rPr>
          <w:rFonts w:ascii="方正楷体_GBK" w:eastAsia="方正楷体_GBK" w:hAnsi="方正楷体_GBK" w:cs="方正楷体_GBK" w:hint="eastAsia"/>
          <w:szCs w:val="32"/>
        </w:rPr>
        <w:t>（二）飞行检查。</w:t>
      </w:r>
      <w:r>
        <w:rPr>
          <w:rFonts w:ascii="方正仿宋_GBK" w:hAnsi="方正仿宋_GBK" w:cs="方正仿宋_GBK" w:hint="eastAsia"/>
          <w:szCs w:val="32"/>
        </w:rPr>
        <w:t>因监管工作需要以及问题线索等，对餐饮服务提供者依法开展的不预先告知的监督检查。飞行检查由区县局根据实际在辖区内实施，市局也可根据工作需要组织业务处室人员及市级餐饮食品安全检查员队伍实施。飞行检查次数纳入餐饮服务提供</w:t>
      </w:r>
      <w:r>
        <w:rPr>
          <w:rFonts w:ascii="方正仿宋_GBK" w:hAnsi="方正仿宋_GBK" w:cs="方正仿宋_GBK" w:hint="eastAsia"/>
          <w:szCs w:val="32"/>
        </w:rPr>
        <w:t>者风险等级检查频次。</w:t>
      </w:r>
    </w:p>
    <w:p w:rsidR="00F14EAC" w:rsidRDefault="00902EAF">
      <w:pPr>
        <w:spacing w:line="580" w:lineRule="exact"/>
        <w:ind w:firstLineChars="200" w:firstLine="632"/>
        <w:rPr>
          <w:rFonts w:ascii="方正仿宋_GBK" w:hAnsi="方正仿宋_GBK" w:cs="方正仿宋_GBK"/>
          <w:szCs w:val="32"/>
        </w:rPr>
      </w:pPr>
      <w:r>
        <w:rPr>
          <w:rFonts w:ascii="方正楷体_GBK" w:eastAsia="方正楷体_GBK" w:hAnsi="方正楷体_GBK" w:cs="方正楷体_GBK" w:hint="eastAsia"/>
          <w:szCs w:val="32"/>
        </w:rPr>
        <w:t>（三）体系检查。</w:t>
      </w:r>
      <w:r>
        <w:rPr>
          <w:rFonts w:ascii="方正仿宋_GBK" w:hAnsi="方正仿宋_GBK" w:cs="方正仿宋_GBK" w:hint="eastAsia"/>
          <w:szCs w:val="32"/>
        </w:rPr>
        <w:t>由市局或区县局根据工作需要组织食品安全监管人员和认证认可监管人员实施，重点以风险防控为导向，对取得食品安全体系认证资格的学校食堂、集体宴席接待单位、中央厨房、集体用餐配送单位等质量管理体系执行情况，依法开展的系统性随机监督检查。该类检查纳入该餐饮服务提供者风险等级检查频次。</w:t>
      </w:r>
    </w:p>
    <w:p w:rsidR="00F14EAC" w:rsidRDefault="00902EAF">
      <w:pPr>
        <w:spacing w:line="580" w:lineRule="exact"/>
        <w:ind w:firstLineChars="200" w:firstLine="632"/>
        <w:rPr>
          <w:rFonts w:ascii="方正仿宋_GBK" w:hAnsi="方正仿宋_GBK" w:cs="方正仿宋_GBK"/>
          <w:szCs w:val="32"/>
        </w:rPr>
      </w:pPr>
      <w:r>
        <w:rPr>
          <w:rFonts w:ascii="方正楷体_GBK" w:eastAsia="方正楷体_GBK" w:hAnsi="方正楷体_GBK" w:cs="方正楷体_GBK" w:hint="eastAsia"/>
          <w:szCs w:val="32"/>
        </w:rPr>
        <w:t>（四）远程检查。“</w:t>
      </w:r>
      <w:r>
        <w:rPr>
          <w:rFonts w:ascii="方正仿宋_GBK" w:hAnsi="方正仿宋_GBK" w:cs="方正仿宋_GBK" w:hint="eastAsia"/>
          <w:szCs w:val="32"/>
        </w:rPr>
        <w:t>重庆阳光食品”</w:t>
      </w:r>
      <w:r>
        <w:rPr>
          <w:szCs w:val="32"/>
        </w:rPr>
        <w:t>APP</w:t>
      </w:r>
      <w:r>
        <w:rPr>
          <w:szCs w:val="32"/>
        </w:rPr>
        <w:t>将</w:t>
      </w:r>
      <w:r>
        <w:rPr>
          <w:rFonts w:ascii="方正仿宋_GBK" w:hAnsi="方正仿宋_GBK" w:cs="方正仿宋_GBK" w:hint="eastAsia"/>
          <w:szCs w:val="32"/>
        </w:rPr>
        <w:t>自动记录餐饮服务提供者是否开展每日晨检、是否按时自检自查、是否定期培训考核、是否及时整改“互联网</w:t>
      </w:r>
      <w:r>
        <w:rPr>
          <w:rFonts w:ascii="方正仿宋_GBK" w:hAnsi="方正仿宋_GBK" w:cs="方正仿宋_GBK" w:hint="eastAsia"/>
          <w:szCs w:val="32"/>
        </w:rPr>
        <w:t>+</w:t>
      </w:r>
      <w:r>
        <w:rPr>
          <w:rFonts w:ascii="方正仿宋_GBK" w:hAnsi="方正仿宋_GBK" w:cs="方正仿宋_GBK" w:hint="eastAsia"/>
          <w:szCs w:val="32"/>
        </w:rPr>
        <w:t>明厨亮灶”智能识别的违规行为等食品安全自查工作情况，并自动推</w:t>
      </w:r>
      <w:r>
        <w:rPr>
          <w:rFonts w:ascii="方正仿宋_GBK" w:hAnsi="方正仿宋_GBK" w:cs="方正仿宋_GBK" w:hint="eastAsia"/>
          <w:szCs w:val="32"/>
        </w:rPr>
        <w:t>送给食品安全管理人员和基层监管人员，监管人员督促餐饮服务提供者及时整改完毕或予以立案查处，形成闭环管理。市局和各区县局要利用市局“智慧食品安全监管服务平台”</w:t>
      </w:r>
      <w:r>
        <w:rPr>
          <w:szCs w:val="32"/>
        </w:rPr>
        <w:t>PC</w:t>
      </w:r>
      <w:r>
        <w:rPr>
          <w:rFonts w:ascii="方正仿宋_GBK" w:hAnsi="方正仿宋_GBK" w:cs="方正仿宋_GBK" w:hint="eastAsia"/>
          <w:szCs w:val="32"/>
        </w:rPr>
        <w:t>端，定期查看“可视化分析”中的“餐饮安全”栏目，及时掌握通过大数据分析或智能识别等科技手段发现的现场检查或自查的高频不合格项、食品经营许可证或从业人员健康证到期、加工过程违规、“三防”设施不完善等面上风险隐患，不定期开展风险预警和调度餐饮食品安全监管工作。基层监管人员要通过监管</w:t>
      </w:r>
      <w:r>
        <w:rPr>
          <w:szCs w:val="32"/>
        </w:rPr>
        <w:t>APP</w:t>
      </w:r>
      <w:r>
        <w:rPr>
          <w:szCs w:val="32"/>
        </w:rPr>
        <w:t>定</w:t>
      </w:r>
      <w:r>
        <w:rPr>
          <w:rFonts w:ascii="方正仿宋_GBK" w:hAnsi="方正仿宋_GBK" w:cs="方正仿宋_GBK" w:hint="eastAsia"/>
          <w:szCs w:val="32"/>
        </w:rPr>
        <w:t>期查看“线上远程监管”栏目，及时掌握网格内的餐饮服务提供者未按规定</w:t>
      </w:r>
      <w:r>
        <w:rPr>
          <w:rFonts w:ascii="方正仿宋_GBK" w:hAnsi="方正仿宋_GBK" w:cs="方正仿宋_GBK" w:hint="eastAsia"/>
          <w:szCs w:val="32"/>
        </w:rPr>
        <w:t>未按时限整改的点上食品安全问题，第一时间通过电话、微信等方式提出整改意见。要充分做好远程监管与现场监管的衔接，对于经首次提醒后未整改或整改不到位的，要启动现场检查，并由区县局组织对该经营者法定代表人或主要负责人进行责任约谈。</w:t>
      </w:r>
    </w:p>
    <w:p w:rsidR="00F14EAC" w:rsidRDefault="00902EAF">
      <w:pPr>
        <w:spacing w:line="580" w:lineRule="exact"/>
        <w:ind w:firstLineChars="200" w:firstLine="632"/>
        <w:rPr>
          <w:rFonts w:ascii="方正仿宋_GBK" w:hAnsi="方正仿宋_GBK" w:cs="方正仿宋_GBK"/>
          <w:szCs w:val="32"/>
        </w:rPr>
      </w:pPr>
      <w:r>
        <w:rPr>
          <w:rFonts w:ascii="方正仿宋_GBK" w:hAnsi="方正仿宋_GBK" w:cs="方正仿宋_GBK" w:hint="eastAsia"/>
          <w:szCs w:val="32"/>
        </w:rPr>
        <w:t>为充分贯彻落实以“双随机、一公开”监管为基本手段、以重点监管为补充的工作要求，日常检查、飞行检查及体系检查均可按照一定比例通过“双随机”形式进行，即随机抽取检查人员和被检查单位生成检查任务予以执行。对同一餐饮服务提供者，</w:t>
      </w:r>
      <w:r>
        <w:rPr>
          <w:rFonts w:ascii="方正仿宋_GBK" w:hAnsi="方正仿宋_GBK" w:cs="方正仿宋_GBK" w:hint="eastAsia"/>
          <w:szCs w:val="32"/>
        </w:rPr>
        <w:t>上级监管部门已经开展监督检查的，下级监管部门原则上三个月内不再重复</w:t>
      </w:r>
      <w:r>
        <w:rPr>
          <w:rFonts w:ascii="方正仿宋_GBK" w:hAnsi="方正仿宋_GBK" w:cs="方正仿宋_GBK" w:hint="eastAsia"/>
          <w:szCs w:val="32"/>
        </w:rPr>
        <w:t>检查已检查的项目，但涉嫌违法或者存在明显食品安全隐患等情形的除外</w:t>
      </w:r>
      <w:r>
        <w:rPr>
          <w:rFonts w:ascii="方正仿宋_GBK" w:hAnsi="方正仿宋_GBK" w:cs="方正仿宋_GBK" w:hint="eastAsia"/>
          <w:szCs w:val="32"/>
        </w:rPr>
        <w:t>。所有以“双随机”形式开展的检查均纳入该餐饮服务提供者风险等级检查频次。</w:t>
      </w:r>
    </w:p>
    <w:p w:rsidR="00F14EAC" w:rsidRDefault="00902EAF">
      <w:pPr>
        <w:spacing w:line="580" w:lineRule="exact"/>
        <w:ind w:firstLineChars="200" w:firstLine="632"/>
        <w:rPr>
          <w:rFonts w:eastAsia="方正黑体_GBK"/>
          <w:szCs w:val="32"/>
        </w:rPr>
      </w:pPr>
      <w:r>
        <w:rPr>
          <w:rFonts w:eastAsia="方正黑体_GBK" w:hint="eastAsia"/>
          <w:szCs w:val="32"/>
        </w:rPr>
        <w:t>四、确定</w:t>
      </w:r>
      <w:r>
        <w:rPr>
          <w:rFonts w:eastAsia="方正黑体_GBK"/>
          <w:szCs w:val="32"/>
        </w:rPr>
        <w:t>监督</w:t>
      </w:r>
      <w:r>
        <w:rPr>
          <w:rFonts w:eastAsia="方正黑体_GBK" w:hint="eastAsia"/>
          <w:szCs w:val="32"/>
        </w:rPr>
        <w:t>检查重点和频次</w:t>
      </w:r>
    </w:p>
    <w:p w:rsidR="00F14EAC" w:rsidRDefault="00902EAF">
      <w:pPr>
        <w:spacing w:line="580" w:lineRule="exact"/>
        <w:ind w:firstLineChars="200" w:firstLine="632"/>
        <w:rPr>
          <w:rFonts w:ascii="方正仿宋_GBK" w:hAnsi="方正仿宋_GBK" w:cs="方正仿宋_GBK"/>
          <w:szCs w:val="32"/>
        </w:rPr>
      </w:pPr>
      <w:r>
        <w:rPr>
          <w:rFonts w:ascii="方正楷体_GBK" w:eastAsia="方正楷体_GBK" w:hAnsi="方正楷体_GBK" w:cs="方正楷体_GBK" w:hint="eastAsia"/>
          <w:szCs w:val="32"/>
        </w:rPr>
        <w:t>（一）检查重点。</w:t>
      </w:r>
      <w:r>
        <w:rPr>
          <w:rFonts w:ascii="方正仿宋_GBK" w:hAnsi="方正仿宋_GBK" w:cs="方正仿宋_GBK" w:hint="eastAsia"/>
          <w:szCs w:val="32"/>
        </w:rPr>
        <w:t>各区县局要对辖区内餐饮服务提供者强化风险研判和风险预警，按照“四见四化四有”要求细化检查对象，尤其对重点时段、重点区域、重点行业、重点对象、重点环节、重点岗位、重点品种、重点事项进行重点检查。检查人员在开展监督检查时，可以对被检查单位专兼职食品安全管理员随机进行抽查考核并公布考核情况，抽查考核不合格的，应当督促限期整改并及时安排补考；</w:t>
      </w:r>
      <w:r>
        <w:rPr>
          <w:rFonts w:ascii="方正仿宋_GBK" w:hAnsi="方正仿宋_GBK" w:cs="方正仿宋_GBK"/>
          <w:szCs w:val="32"/>
        </w:rPr>
        <w:t>可以根据需要依照食品安全抽样检验管理有关规定，对被检查单位生产经营的原料</w:t>
      </w:r>
      <w:r>
        <w:rPr>
          <w:rFonts w:ascii="方正仿宋_GBK" w:hAnsi="方正仿宋_GBK" w:cs="方正仿宋_GBK" w:hint="eastAsia"/>
          <w:szCs w:val="32"/>
        </w:rPr>
        <w:t>、</w:t>
      </w:r>
      <w:r>
        <w:rPr>
          <w:rFonts w:ascii="方正仿宋_GBK" w:hAnsi="方正仿宋_GBK" w:cs="方正仿宋_GBK"/>
          <w:szCs w:val="32"/>
        </w:rPr>
        <w:t>半成品</w:t>
      </w:r>
      <w:r>
        <w:rPr>
          <w:rFonts w:ascii="方正仿宋_GBK" w:hAnsi="方正仿宋_GBK" w:cs="方正仿宋_GBK" w:hint="eastAsia"/>
          <w:szCs w:val="32"/>
        </w:rPr>
        <w:t>、成品</w:t>
      </w:r>
      <w:r>
        <w:rPr>
          <w:rFonts w:ascii="方正仿宋_GBK" w:hAnsi="方正仿宋_GBK" w:cs="方正仿宋_GBK"/>
          <w:szCs w:val="32"/>
        </w:rPr>
        <w:t>等进行抽样检验</w:t>
      </w:r>
      <w:r>
        <w:rPr>
          <w:rFonts w:ascii="方正仿宋_GBK" w:hAnsi="方正仿宋_GBK" w:cs="方正仿宋_GBK" w:hint="eastAsia"/>
          <w:szCs w:val="32"/>
        </w:rPr>
        <w:t>。</w:t>
      </w:r>
    </w:p>
    <w:p w:rsidR="00F14EAC" w:rsidRDefault="00902EAF">
      <w:pPr>
        <w:spacing w:line="580" w:lineRule="exact"/>
        <w:ind w:firstLineChars="200" w:firstLine="632"/>
        <w:rPr>
          <w:rFonts w:ascii="方正仿宋_GBK" w:hAnsi="方正仿宋_GBK" w:cs="方正仿宋_GBK"/>
          <w:szCs w:val="32"/>
        </w:rPr>
      </w:pPr>
      <w:r>
        <w:rPr>
          <w:rFonts w:ascii="方正仿宋_GBK" w:hAnsi="方正仿宋_GBK" w:cs="方正仿宋_GBK" w:hint="eastAsia"/>
          <w:szCs w:val="32"/>
        </w:rPr>
        <w:t>对于无证无照经营的餐饮服务提供者，一经发现应及时依法查处。</w:t>
      </w:r>
    </w:p>
    <w:p w:rsidR="00F14EAC" w:rsidRDefault="00902EAF">
      <w:pPr>
        <w:spacing w:line="580" w:lineRule="exact"/>
        <w:ind w:firstLineChars="200" w:firstLine="632"/>
        <w:rPr>
          <w:rFonts w:ascii="方正仿宋_GBK" w:hAnsi="方正仿宋_GBK" w:cs="方正仿宋_GBK"/>
          <w:szCs w:val="32"/>
        </w:rPr>
      </w:pPr>
      <w:r>
        <w:rPr>
          <w:rFonts w:ascii="方正楷体_GBK" w:eastAsia="方正楷体_GBK" w:hAnsi="方正楷体_GBK" w:cs="方正楷体_GBK" w:hint="eastAsia"/>
          <w:szCs w:val="32"/>
        </w:rPr>
        <w:t>（二）检查频次。</w:t>
      </w:r>
      <w:r>
        <w:rPr>
          <w:rFonts w:ascii="方正仿宋_GBK" w:hAnsi="方正仿宋_GBK" w:cs="方正仿宋_GBK" w:hint="eastAsia"/>
          <w:szCs w:val="32"/>
        </w:rPr>
        <w:t>各区县局应当每年对本行政区域的持证餐饮服务提供者进行全覆盖的监督检查，并以风险分级为基础，根据餐饮服务提供者不同风险等级确定相应监督检查频次，即</w:t>
      </w:r>
      <w:r>
        <w:rPr>
          <w:rFonts w:hint="eastAsia"/>
          <w:szCs w:val="32"/>
        </w:rPr>
        <w:t>A</w:t>
      </w:r>
      <w:r>
        <w:rPr>
          <w:rFonts w:hint="eastAsia"/>
          <w:szCs w:val="32"/>
        </w:rPr>
        <w:t>级和</w:t>
      </w:r>
      <w:r>
        <w:rPr>
          <w:rFonts w:hint="eastAsia"/>
          <w:szCs w:val="32"/>
        </w:rPr>
        <w:t>B</w:t>
      </w:r>
      <w:r>
        <w:rPr>
          <w:rFonts w:hint="eastAsia"/>
          <w:szCs w:val="32"/>
        </w:rPr>
        <w:t>级风险每年至少开展</w:t>
      </w:r>
      <w:r>
        <w:rPr>
          <w:rFonts w:hint="eastAsia"/>
          <w:szCs w:val="32"/>
        </w:rPr>
        <w:t>1</w:t>
      </w:r>
      <w:r>
        <w:rPr>
          <w:rFonts w:hint="eastAsia"/>
          <w:szCs w:val="32"/>
        </w:rPr>
        <w:t>次日常监督检查，且</w:t>
      </w:r>
      <w:r>
        <w:rPr>
          <w:rFonts w:hint="eastAsia"/>
          <w:szCs w:val="32"/>
        </w:rPr>
        <w:t>A</w:t>
      </w:r>
      <w:r>
        <w:rPr>
          <w:rFonts w:hint="eastAsia"/>
          <w:szCs w:val="32"/>
        </w:rPr>
        <w:t>级每两年至少开展</w:t>
      </w:r>
      <w:r>
        <w:rPr>
          <w:rFonts w:hint="eastAsia"/>
          <w:szCs w:val="32"/>
        </w:rPr>
        <w:t>1</w:t>
      </w:r>
      <w:r>
        <w:rPr>
          <w:rFonts w:hint="eastAsia"/>
          <w:szCs w:val="32"/>
        </w:rPr>
        <w:t>次全项目检查、</w:t>
      </w:r>
      <w:r>
        <w:rPr>
          <w:rFonts w:hint="eastAsia"/>
          <w:szCs w:val="32"/>
        </w:rPr>
        <w:t>B</w:t>
      </w:r>
      <w:r>
        <w:rPr>
          <w:rFonts w:hint="eastAsia"/>
          <w:szCs w:val="32"/>
        </w:rPr>
        <w:t>级每年至少开展</w:t>
      </w:r>
      <w:r>
        <w:rPr>
          <w:rFonts w:hint="eastAsia"/>
          <w:szCs w:val="32"/>
        </w:rPr>
        <w:t>1</w:t>
      </w:r>
      <w:r>
        <w:rPr>
          <w:rFonts w:hint="eastAsia"/>
          <w:szCs w:val="32"/>
        </w:rPr>
        <w:t>次全项目检查；</w:t>
      </w:r>
      <w:r>
        <w:rPr>
          <w:rFonts w:hint="eastAsia"/>
          <w:szCs w:val="32"/>
        </w:rPr>
        <w:t>C</w:t>
      </w:r>
      <w:r>
        <w:rPr>
          <w:rFonts w:hint="eastAsia"/>
          <w:szCs w:val="32"/>
        </w:rPr>
        <w:t>级风险每年至少开展</w:t>
      </w:r>
      <w:r>
        <w:rPr>
          <w:rFonts w:hint="eastAsia"/>
          <w:szCs w:val="32"/>
        </w:rPr>
        <w:t>3</w:t>
      </w:r>
      <w:r>
        <w:rPr>
          <w:rFonts w:hint="eastAsia"/>
          <w:szCs w:val="32"/>
        </w:rPr>
        <w:t>次日常监督检查，且每年至少开展</w:t>
      </w:r>
      <w:r>
        <w:rPr>
          <w:rFonts w:hint="eastAsia"/>
          <w:szCs w:val="32"/>
        </w:rPr>
        <w:t>2</w:t>
      </w:r>
      <w:r>
        <w:rPr>
          <w:rFonts w:hint="eastAsia"/>
          <w:szCs w:val="32"/>
        </w:rPr>
        <w:t>次全项目检查；</w:t>
      </w:r>
      <w:r>
        <w:rPr>
          <w:rFonts w:hint="eastAsia"/>
          <w:szCs w:val="32"/>
        </w:rPr>
        <w:t>D</w:t>
      </w:r>
      <w:r>
        <w:rPr>
          <w:rFonts w:hint="eastAsia"/>
          <w:szCs w:val="32"/>
        </w:rPr>
        <w:t>级风险每年至少开展</w:t>
      </w:r>
      <w:r>
        <w:rPr>
          <w:rFonts w:hint="eastAsia"/>
          <w:szCs w:val="32"/>
        </w:rPr>
        <w:t>4</w:t>
      </w:r>
      <w:r>
        <w:rPr>
          <w:rFonts w:hint="eastAsia"/>
          <w:szCs w:val="32"/>
        </w:rPr>
        <w:t>次日常监督检查，且每年至少开展</w:t>
      </w:r>
      <w:r>
        <w:rPr>
          <w:rFonts w:hint="eastAsia"/>
          <w:szCs w:val="32"/>
        </w:rPr>
        <w:t>3</w:t>
      </w:r>
      <w:r>
        <w:rPr>
          <w:rFonts w:hint="eastAsia"/>
          <w:szCs w:val="32"/>
        </w:rPr>
        <w:t>次全项目检查。学校及校园周边餐饮服务提供者应按照</w:t>
      </w:r>
      <w:r>
        <w:rPr>
          <w:rFonts w:hint="eastAsia"/>
          <w:szCs w:val="32"/>
        </w:rPr>
        <w:t>D</w:t>
      </w:r>
      <w:r>
        <w:rPr>
          <w:rFonts w:hint="eastAsia"/>
          <w:szCs w:val="32"/>
        </w:rPr>
        <w:t>级风险进行频次检查；养老机构食堂、特大型餐饮单位、中央厨房、集体用餐</w:t>
      </w:r>
      <w:r>
        <w:rPr>
          <w:rFonts w:hint="eastAsia"/>
          <w:szCs w:val="32"/>
        </w:rPr>
        <w:t>配送单位、</w:t>
      </w:r>
      <w:r>
        <w:rPr>
          <w:rFonts w:hint="eastAsia"/>
          <w:szCs w:val="32"/>
          <w:lang w:val="zh-CN"/>
        </w:rPr>
        <w:t>食品自动制售经营者等高风险业态</w:t>
      </w:r>
      <w:r>
        <w:rPr>
          <w:rFonts w:hint="eastAsia"/>
          <w:szCs w:val="32"/>
        </w:rPr>
        <w:t>，应按照</w:t>
      </w:r>
      <w:r>
        <w:rPr>
          <w:rFonts w:hint="eastAsia"/>
          <w:szCs w:val="32"/>
        </w:rPr>
        <w:t>C</w:t>
      </w:r>
      <w:r>
        <w:rPr>
          <w:rFonts w:hint="eastAsia"/>
          <w:szCs w:val="32"/>
        </w:rPr>
        <w:t>级风险以上进行频次检查。</w:t>
      </w:r>
    </w:p>
    <w:p w:rsidR="00F14EAC" w:rsidRDefault="00902EAF">
      <w:pPr>
        <w:spacing w:line="580" w:lineRule="exact"/>
        <w:ind w:firstLineChars="200" w:firstLine="632"/>
        <w:rPr>
          <w:rFonts w:eastAsia="方正黑体_GBK"/>
          <w:szCs w:val="32"/>
        </w:rPr>
      </w:pPr>
      <w:r>
        <w:rPr>
          <w:rFonts w:eastAsia="方正黑体_GBK" w:hint="eastAsia"/>
          <w:szCs w:val="32"/>
        </w:rPr>
        <w:t>五、监督检查结果的处理</w:t>
      </w:r>
    </w:p>
    <w:p w:rsidR="00F14EAC" w:rsidRDefault="00902EAF">
      <w:pPr>
        <w:spacing w:line="580" w:lineRule="exact"/>
        <w:ind w:firstLineChars="200" w:firstLine="632"/>
        <w:rPr>
          <w:rFonts w:ascii="方正仿宋_GBK" w:hAnsi="方正仿宋_GBK" w:cs="方正仿宋_GBK"/>
          <w:szCs w:val="32"/>
        </w:rPr>
      </w:pPr>
      <w:r>
        <w:rPr>
          <w:rFonts w:ascii="方正楷体_GBK" w:eastAsia="方正楷体_GBK" w:hAnsi="方正楷体_GBK" w:cs="方正楷体_GBK" w:hint="eastAsia"/>
          <w:szCs w:val="32"/>
        </w:rPr>
        <w:t>（一）及时公示。</w:t>
      </w:r>
      <w:r>
        <w:rPr>
          <w:rFonts w:ascii="方正仿宋_GBK" w:hAnsi="方正仿宋_GBK" w:cs="方正仿宋_GBK" w:hint="eastAsia"/>
          <w:szCs w:val="32"/>
        </w:rPr>
        <w:t>检查人员现场检查结束后，监管</w:t>
      </w:r>
      <w:r>
        <w:rPr>
          <w:szCs w:val="32"/>
        </w:rPr>
        <w:t>APP</w:t>
      </w:r>
      <w:r>
        <w:rPr>
          <w:rFonts w:ascii="方正仿宋_GBK" w:hAnsi="方正仿宋_GBK" w:cs="方正仿宋_GBK" w:hint="eastAsia"/>
          <w:szCs w:val="32"/>
        </w:rPr>
        <w:t>自动生成《重庆餐饮服务食品安全监督检查结果记</w:t>
      </w:r>
      <w:r>
        <w:rPr>
          <w:szCs w:val="32"/>
        </w:rPr>
        <w:t>录表》（见附件</w:t>
      </w:r>
      <w:r>
        <w:rPr>
          <w:szCs w:val="32"/>
        </w:rPr>
        <w:t>2</w:t>
      </w:r>
      <w:r>
        <w:rPr>
          <w:szCs w:val="32"/>
        </w:rPr>
        <w:t>），待被检查单位法定代表人或者其授权委托人电子签名后，由检查人员立即将记录表推送回被检查单位，根</w:t>
      </w:r>
      <w:r>
        <w:rPr>
          <w:rFonts w:ascii="方正仿宋_GBK" w:hAnsi="方正仿宋_GBK" w:cs="方正仿宋_GBK" w:hint="eastAsia"/>
          <w:szCs w:val="32"/>
        </w:rPr>
        <w:t>据需要可以另制书面检查结果记录表。记录表应张贴在经营场所醒目位置并保持至下次监督检查，或通过“重庆阳光食品”</w:t>
      </w:r>
      <w:r>
        <w:rPr>
          <w:szCs w:val="32"/>
        </w:rPr>
        <w:t>APP</w:t>
      </w:r>
      <w:r>
        <w:rPr>
          <w:rFonts w:ascii="方正仿宋_GBK" w:hAnsi="方正仿宋_GBK" w:cs="方正仿宋_GBK" w:hint="eastAsia"/>
          <w:szCs w:val="32"/>
        </w:rPr>
        <w:t>、“一店一码”或“山城有信”平台等渠道公开。</w:t>
      </w:r>
    </w:p>
    <w:p w:rsidR="00F14EAC" w:rsidRDefault="00902EAF">
      <w:pPr>
        <w:spacing w:line="580" w:lineRule="exact"/>
        <w:ind w:firstLineChars="200" w:firstLine="632"/>
        <w:rPr>
          <w:szCs w:val="32"/>
        </w:rPr>
      </w:pPr>
      <w:r>
        <w:rPr>
          <w:rFonts w:ascii="方正楷体_GBK" w:eastAsia="方正楷体_GBK" w:hAnsi="方正楷体_GBK" w:cs="方正楷体_GBK" w:hint="eastAsia"/>
          <w:szCs w:val="32"/>
        </w:rPr>
        <w:t>（二）分类处理。</w:t>
      </w:r>
      <w:r>
        <w:rPr>
          <w:szCs w:val="32"/>
        </w:rPr>
        <w:t>监管</w:t>
      </w:r>
      <w:r>
        <w:rPr>
          <w:szCs w:val="32"/>
        </w:rPr>
        <w:t>APP</w:t>
      </w:r>
      <w:r>
        <w:rPr>
          <w:szCs w:val="32"/>
        </w:rPr>
        <w:t>将对检查结果自动提示</w:t>
      </w:r>
      <w:r>
        <w:rPr>
          <w:szCs w:val="32"/>
        </w:rPr>
        <w:t>分类处置意见，检查人员应根据意见完善后续处置程序；有食品安全事故潜在风险的，应当立即责令其停止生产经营活动。</w:t>
      </w:r>
    </w:p>
    <w:p w:rsidR="00F14EAC" w:rsidRDefault="00902EAF">
      <w:pPr>
        <w:spacing w:line="580" w:lineRule="exact"/>
        <w:ind w:firstLineChars="200" w:firstLine="632"/>
        <w:rPr>
          <w:rFonts w:ascii="方正仿宋_GBK" w:hAnsi="方正仿宋_GBK" w:cs="方正仿宋_GBK"/>
          <w:szCs w:val="32"/>
        </w:rPr>
      </w:pPr>
      <w:r>
        <w:rPr>
          <w:szCs w:val="32"/>
        </w:rPr>
        <w:t>1</w:t>
      </w:r>
      <w:r>
        <w:rPr>
          <w:rFonts w:hint="eastAsia"/>
          <w:szCs w:val="32"/>
        </w:rPr>
        <w:t>．</w:t>
      </w:r>
      <w:r>
        <w:rPr>
          <w:szCs w:val="32"/>
        </w:rPr>
        <w:t>责令当场改正。</w:t>
      </w:r>
      <w:r>
        <w:rPr>
          <w:szCs w:val="32"/>
        </w:rPr>
        <w:t>检查中发现餐饮服务</w:t>
      </w:r>
      <w:r>
        <w:rPr>
          <w:rFonts w:ascii="方正仿宋_GBK" w:hAnsi="方正仿宋_GBK" w:cs="方正仿宋_GBK" w:hint="eastAsia"/>
          <w:szCs w:val="32"/>
        </w:rPr>
        <w:t>提供者不符合监督检查要点表有关项目，如“未在经营场所的显著位置悬挂或者摆放食品经营许可证正本”等一般项目存在轻微风险隐患、不涉及违</w:t>
      </w:r>
      <w:r>
        <w:rPr>
          <w:rFonts w:ascii="方正仿宋_GBK" w:hAnsi="方正仿宋_GBK" w:cs="方正仿宋_GBK" w:hint="eastAsia"/>
          <w:spacing w:val="-6"/>
          <w:szCs w:val="32"/>
        </w:rPr>
        <w:t>法行为且可当场改正的，应责令其当场整改到位；对于“需冷冻（藏）的食品原料、半成品和成品未及时按要求进行冷冻（藏）”等关键项目存在轻微风险隐患且能当场改正的，应责令其当场整改到位</w:t>
      </w:r>
      <w:r>
        <w:rPr>
          <w:rFonts w:ascii="方正仿宋_GBK" w:hAnsi="方正仿宋_GBK" w:cs="方正仿宋_GBK" w:hint="eastAsia"/>
          <w:szCs w:val="32"/>
        </w:rPr>
        <w:t>。</w:t>
      </w:r>
    </w:p>
    <w:p w:rsidR="00F14EAC" w:rsidRDefault="00902EAF">
      <w:pPr>
        <w:spacing w:line="580" w:lineRule="exact"/>
        <w:ind w:firstLineChars="200" w:firstLine="632"/>
        <w:rPr>
          <w:rFonts w:ascii="方正仿宋_GBK" w:hAnsi="方正仿宋_GBK" w:cs="方正仿宋_GBK"/>
          <w:szCs w:val="32"/>
        </w:rPr>
      </w:pPr>
      <w:r>
        <w:rPr>
          <w:szCs w:val="32"/>
        </w:rPr>
        <w:t>2</w:t>
      </w:r>
      <w:r>
        <w:rPr>
          <w:rFonts w:hint="eastAsia"/>
          <w:szCs w:val="32"/>
        </w:rPr>
        <w:t>．</w:t>
      </w:r>
      <w:r>
        <w:rPr>
          <w:rFonts w:ascii="方正仿宋_GBK" w:hAnsi="方正仿宋_GBK" w:cs="方正仿宋_GBK" w:hint="eastAsia"/>
          <w:szCs w:val="32"/>
        </w:rPr>
        <w:t>实施简易处罚。</w:t>
      </w:r>
      <w:r>
        <w:rPr>
          <w:rFonts w:ascii="方正仿宋_GBK" w:hAnsi="方正仿宋_GBK" w:cs="方正仿宋_GBK" w:hint="eastAsia"/>
          <w:szCs w:val="32"/>
        </w:rPr>
        <w:t>检查中发现餐饮服务提供者不符合监督检查要点表有关项目，如“餐饮服务企业未对各岗位从业人员进行相应的食品安全知识培训并做好培训记录”等一般项目存在轻微违法违规行为且无法当场整改的；如“冷冻（藏）、保温、陈列、采光、通风、洗手、消毒、三防等设施设备无法正常使用”等关键项目存在轻微违法违规行为且无法当场整改的，系统将自动生成限期责令整改通知书，并做出给予警告的决定。属地网格监管人员应当对整改情况进行跟踪检查。</w:t>
      </w:r>
    </w:p>
    <w:p w:rsidR="00F14EAC" w:rsidRDefault="00902EAF">
      <w:pPr>
        <w:spacing w:line="580" w:lineRule="exact"/>
        <w:ind w:firstLineChars="200" w:firstLine="632"/>
        <w:rPr>
          <w:rFonts w:ascii="方正仿宋_GBK" w:hAnsi="方正仿宋_GBK" w:cs="方正仿宋_GBK"/>
          <w:szCs w:val="32"/>
        </w:rPr>
      </w:pPr>
      <w:r>
        <w:rPr>
          <w:szCs w:val="32"/>
        </w:rPr>
        <w:t>3</w:t>
      </w:r>
      <w:r>
        <w:rPr>
          <w:rFonts w:hint="eastAsia"/>
          <w:szCs w:val="32"/>
        </w:rPr>
        <w:t>．</w:t>
      </w:r>
      <w:r>
        <w:rPr>
          <w:szCs w:val="32"/>
        </w:rPr>
        <w:t>建议立案查处。</w:t>
      </w:r>
      <w:r>
        <w:rPr>
          <w:szCs w:val="32"/>
        </w:rPr>
        <w:t>检</w:t>
      </w:r>
      <w:r>
        <w:rPr>
          <w:rFonts w:ascii="方正仿宋_GBK" w:hAnsi="方正仿宋_GBK" w:cs="方正仿宋_GBK" w:hint="eastAsia"/>
          <w:szCs w:val="32"/>
        </w:rPr>
        <w:t>查中发现餐饮服务提供者不符合监督检查要点表有关项目，如涉嫌存在“食品经营许可证无效、</w:t>
      </w:r>
      <w:r>
        <w:rPr>
          <w:rFonts w:ascii="方正仿宋_GBK" w:hAnsi="方正仿宋_GBK" w:cs="方正仿宋_GBK" w:hint="eastAsia"/>
          <w:szCs w:val="32"/>
        </w:rPr>
        <w:t>与经营场所（实体门店）地址不一致”等违法违规行为的，系统将自动推送案源以便后期立案查处。对于餐饮服务提供者多次出现同一违法违规行为的，系统将主动提示相关信息，各区县局应依法从严处置。查处情况将计入</w:t>
      </w:r>
      <w:r>
        <w:rPr>
          <w:color w:val="000000"/>
          <w:szCs w:val="32"/>
        </w:rPr>
        <w:t>餐饮服务提供者食品安全信用档案</w:t>
      </w:r>
      <w:r>
        <w:rPr>
          <w:rFonts w:hint="eastAsia"/>
          <w:color w:val="000000"/>
          <w:szCs w:val="32"/>
        </w:rPr>
        <w:t>。</w:t>
      </w:r>
    </w:p>
    <w:p w:rsidR="00F14EAC" w:rsidRDefault="00F14EAC">
      <w:pPr>
        <w:spacing w:line="580" w:lineRule="exact"/>
        <w:ind w:firstLineChars="200" w:firstLine="632"/>
        <w:rPr>
          <w:rFonts w:ascii="方正仿宋_GBK" w:hAnsi="方正仿宋_GBK" w:cs="方正仿宋_GBK"/>
          <w:szCs w:val="32"/>
        </w:rPr>
      </w:pPr>
    </w:p>
    <w:p w:rsidR="00F14EAC" w:rsidRDefault="00902EAF">
      <w:pPr>
        <w:spacing w:line="580" w:lineRule="exact"/>
        <w:ind w:firstLineChars="200" w:firstLine="632"/>
        <w:rPr>
          <w:szCs w:val="32"/>
        </w:rPr>
      </w:pPr>
      <w:r>
        <w:rPr>
          <w:szCs w:val="32"/>
        </w:rPr>
        <w:t>附件：</w:t>
      </w:r>
      <w:r>
        <w:rPr>
          <w:szCs w:val="32"/>
        </w:rPr>
        <w:t>1</w:t>
      </w:r>
      <w:r>
        <w:rPr>
          <w:rFonts w:hint="eastAsia"/>
          <w:szCs w:val="32"/>
        </w:rPr>
        <w:t>．</w:t>
      </w:r>
      <w:r>
        <w:rPr>
          <w:szCs w:val="32"/>
        </w:rPr>
        <w:t>重庆市餐饮服务食品安全监督检查要点表</w:t>
      </w:r>
    </w:p>
    <w:p w:rsidR="00F14EAC" w:rsidRDefault="00902EAF" w:rsidP="000B482B">
      <w:pPr>
        <w:spacing w:line="580" w:lineRule="exact"/>
        <w:ind w:firstLineChars="500" w:firstLine="1579"/>
        <w:jc w:val="left"/>
        <w:rPr>
          <w:szCs w:val="32"/>
          <w:shd w:val="clear" w:color="auto" w:fill="FFFFFF"/>
        </w:rPr>
      </w:pPr>
      <w:r>
        <w:rPr>
          <w:szCs w:val="32"/>
        </w:rPr>
        <w:t>2</w:t>
      </w:r>
      <w:r>
        <w:rPr>
          <w:rFonts w:hint="eastAsia"/>
          <w:szCs w:val="32"/>
        </w:rPr>
        <w:t>．</w:t>
      </w:r>
      <w:r>
        <w:rPr>
          <w:szCs w:val="32"/>
        </w:rPr>
        <w:t>重庆市餐饮服务食品安全监督检查结果记录表</w:t>
      </w:r>
    </w:p>
    <w:p w:rsidR="00F14EAC" w:rsidRDefault="00F14EAC">
      <w:pPr>
        <w:spacing w:line="580" w:lineRule="exact"/>
        <w:jc w:val="left"/>
        <w:rPr>
          <w:szCs w:val="32"/>
          <w:shd w:val="clear" w:color="auto" w:fill="FFFFFF"/>
        </w:rPr>
      </w:pPr>
    </w:p>
    <w:p w:rsidR="00F14EAC" w:rsidRDefault="00902EAF" w:rsidP="000B482B">
      <w:pPr>
        <w:tabs>
          <w:tab w:val="left" w:pos="8222"/>
        </w:tabs>
        <w:spacing w:line="580" w:lineRule="exact"/>
        <w:ind w:firstLineChars="1527" w:firstLine="4823"/>
        <w:jc w:val="left"/>
        <w:rPr>
          <w:szCs w:val="32"/>
        </w:rPr>
      </w:pPr>
      <w:r>
        <w:rPr>
          <w:szCs w:val="32"/>
        </w:rPr>
        <w:t>重庆市市场监督管理局</w:t>
      </w:r>
    </w:p>
    <w:p w:rsidR="00F14EAC" w:rsidRDefault="00902EAF">
      <w:pPr>
        <w:tabs>
          <w:tab w:val="left" w:pos="8364"/>
        </w:tabs>
        <w:spacing w:line="580" w:lineRule="exact"/>
        <w:ind w:firstLineChars="200" w:firstLine="632"/>
        <w:jc w:val="left"/>
        <w:rPr>
          <w:szCs w:val="32"/>
        </w:rPr>
      </w:pPr>
      <w:r>
        <w:rPr>
          <w:szCs w:val="32"/>
        </w:rPr>
        <w:t xml:space="preserve">                              2022</w:t>
      </w:r>
      <w:r>
        <w:rPr>
          <w:szCs w:val="32"/>
        </w:rPr>
        <w:t>年</w:t>
      </w:r>
      <w:r>
        <w:rPr>
          <w:szCs w:val="32"/>
        </w:rPr>
        <w:t>7</w:t>
      </w:r>
      <w:r>
        <w:rPr>
          <w:szCs w:val="32"/>
        </w:rPr>
        <w:t>月</w:t>
      </w:r>
      <w:r>
        <w:rPr>
          <w:rFonts w:hint="eastAsia"/>
          <w:szCs w:val="32"/>
        </w:rPr>
        <w:t>19</w:t>
      </w:r>
      <w:r>
        <w:rPr>
          <w:szCs w:val="32"/>
        </w:rPr>
        <w:t>日</w:t>
      </w:r>
    </w:p>
    <w:p w:rsidR="00F14EAC" w:rsidRDefault="00902EAF">
      <w:pPr>
        <w:pStyle w:val="a3"/>
        <w:spacing w:after="0" w:line="580" w:lineRule="exact"/>
        <w:rPr>
          <w:szCs w:val="32"/>
        </w:rPr>
        <w:sectPr w:rsidR="00F14EA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64" w:gutter="0"/>
          <w:cols w:space="0"/>
          <w:docGrid w:type="linesAndChars" w:linePitch="580" w:charSpace="-849"/>
        </w:sectPr>
      </w:pPr>
      <w:r>
        <w:rPr>
          <w:rFonts w:hint="eastAsia"/>
          <w:szCs w:val="32"/>
        </w:rPr>
        <w:t xml:space="preserve">    </w:t>
      </w:r>
      <w:r>
        <w:rPr>
          <w:rFonts w:hint="eastAsia"/>
          <w:szCs w:val="32"/>
        </w:rPr>
        <w:t>（此件公开发布）</w:t>
      </w:r>
    </w:p>
    <w:p w:rsidR="00F14EAC" w:rsidRDefault="00902EAF">
      <w:pPr>
        <w:rPr>
          <w:rFonts w:eastAsia="方正黑体_GBK"/>
          <w:szCs w:val="32"/>
        </w:rPr>
      </w:pPr>
      <w:r>
        <w:rPr>
          <w:rFonts w:eastAsia="方正黑体_GBK"/>
          <w:szCs w:val="32"/>
        </w:rPr>
        <w:t>附件</w:t>
      </w:r>
      <w:r>
        <w:rPr>
          <w:rFonts w:eastAsia="方正黑体_GBK"/>
          <w:szCs w:val="32"/>
        </w:rPr>
        <w:t>1</w:t>
      </w:r>
    </w:p>
    <w:p w:rsidR="00F14EAC" w:rsidRDefault="00F14EAC">
      <w:pPr>
        <w:pStyle w:val="a3"/>
        <w:spacing w:after="0"/>
      </w:pPr>
    </w:p>
    <w:p w:rsidR="00F14EAC" w:rsidRDefault="00902EAF">
      <w:pPr>
        <w:snapToGrid w:val="0"/>
        <w:spacing w:line="720" w:lineRule="atLeast"/>
        <w:jc w:val="center"/>
        <w:textAlignment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kern w:val="0"/>
          <w:sz w:val="44"/>
          <w:szCs w:val="44"/>
          <w:lang w:bidi="ar"/>
        </w:rPr>
        <w:t>重庆市餐饮服务食品安全监督检查要点表</w:t>
      </w:r>
    </w:p>
    <w:p w:rsidR="00F14EAC" w:rsidRDefault="00902EAF">
      <w:pPr>
        <w:snapToGrid w:val="0"/>
        <w:spacing w:line="600" w:lineRule="exact"/>
        <w:rPr>
          <w:rFonts w:ascii="方正仿宋_GBK" w:hAnsi="方正仿宋_GBK" w:cs="方正仿宋_GBK"/>
          <w:bCs/>
          <w:szCs w:val="32"/>
        </w:rPr>
      </w:pPr>
      <w:r>
        <w:rPr>
          <w:rFonts w:ascii="宋体" w:eastAsia="宋体" w:hAnsi="宋体" w:cs="宋体" w:hint="eastAsia"/>
          <w:b/>
          <w:kern w:val="0"/>
          <w:sz w:val="22"/>
          <w:szCs w:val="22"/>
          <w:lang w:bidi="ar"/>
        </w:rPr>
        <w:t xml:space="preserve">                                                                                  </w:t>
      </w:r>
      <w:r>
        <w:rPr>
          <w:rFonts w:ascii="宋体" w:eastAsia="宋体" w:hAnsi="宋体" w:cs="宋体" w:hint="eastAsia"/>
          <w:b/>
          <w:kern w:val="0"/>
          <w:sz w:val="22"/>
          <w:szCs w:val="22"/>
          <w:lang w:bidi="ar"/>
        </w:rPr>
        <w:t xml:space="preserve">       </w:t>
      </w:r>
      <w:r>
        <w:rPr>
          <w:rFonts w:ascii="方正仿宋_GBK" w:hAnsi="方正仿宋_GBK" w:cs="方正仿宋_GBK" w:hint="eastAsia"/>
          <w:bCs/>
          <w:kern w:val="0"/>
          <w:sz w:val="22"/>
          <w:szCs w:val="22"/>
          <w:lang w:bidi="ar"/>
        </w:rPr>
        <w:t xml:space="preserve"> </w:t>
      </w:r>
      <w:r>
        <w:rPr>
          <w:rFonts w:ascii="方正仿宋_GBK" w:hAnsi="方正仿宋_GBK" w:cs="方正仿宋_GBK" w:hint="eastAsia"/>
          <w:bCs/>
          <w:kern w:val="0"/>
          <w:sz w:val="22"/>
          <w:szCs w:val="22"/>
          <w:lang w:bidi="ar"/>
        </w:rPr>
        <w:t>各业态推荐检查项目</w:t>
      </w:r>
    </w:p>
    <w:tbl>
      <w:tblPr>
        <w:tblW w:w="149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934"/>
        <w:gridCol w:w="745"/>
        <w:gridCol w:w="4407"/>
        <w:gridCol w:w="667"/>
        <w:gridCol w:w="911"/>
        <w:gridCol w:w="585"/>
        <w:gridCol w:w="779"/>
        <w:gridCol w:w="616"/>
        <w:gridCol w:w="644"/>
        <w:gridCol w:w="484"/>
        <w:gridCol w:w="634"/>
        <w:gridCol w:w="436"/>
        <w:gridCol w:w="451"/>
        <w:gridCol w:w="535"/>
        <w:gridCol w:w="800"/>
        <w:gridCol w:w="568"/>
        <w:gridCol w:w="796"/>
      </w:tblGrid>
      <w:tr w:rsidR="00F14EAC">
        <w:trPr>
          <w:trHeight w:val="1025"/>
          <w:tblHeader/>
          <w:jc w:val="center"/>
        </w:trPr>
        <w:tc>
          <w:tcPr>
            <w:tcW w:w="934"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检查项目</w:t>
            </w:r>
          </w:p>
        </w:tc>
        <w:tc>
          <w:tcPr>
            <w:tcW w:w="745"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序号</w:t>
            </w:r>
          </w:p>
        </w:tc>
        <w:tc>
          <w:tcPr>
            <w:tcW w:w="4407" w:type="dxa"/>
            <w:tcBorders>
              <w:tl2br w:val="nil"/>
              <w:tr2bl w:val="nil"/>
            </w:tcBorders>
            <w:vAlign w:val="center"/>
          </w:tcPr>
          <w:p w:rsidR="00F14EAC" w:rsidRDefault="00902EAF">
            <w:pPr>
              <w:widowControl/>
              <w:spacing w:line="280" w:lineRule="exact"/>
              <w:jc w:val="center"/>
              <w:textAlignment w:val="center"/>
              <w:rPr>
                <w:rFonts w:ascii="方正黑体_GBK" w:eastAsia="方正黑体_GBK" w:hAnsi="方正黑体_GBK" w:cs="方正黑体_GBK"/>
                <w:sz w:val="21"/>
                <w:szCs w:val="21"/>
              </w:rPr>
            </w:pPr>
            <w:r>
              <w:rPr>
                <w:rFonts w:ascii="方正黑体_GBK" w:eastAsia="方正黑体_GBK" w:hAnsi="方正黑体_GBK" w:cs="方正黑体_GBK" w:hint="eastAsia"/>
                <w:kern w:val="0"/>
                <w:sz w:val="21"/>
                <w:szCs w:val="21"/>
                <w:lang w:bidi="ar"/>
              </w:rPr>
              <w:t>检查内容</w:t>
            </w:r>
          </w:p>
        </w:tc>
        <w:tc>
          <w:tcPr>
            <w:tcW w:w="667" w:type="dxa"/>
            <w:tcBorders>
              <w:tl2br w:val="nil"/>
              <w:tr2bl w:val="nil"/>
            </w:tcBorders>
            <w:vAlign w:val="center"/>
          </w:tcPr>
          <w:p w:rsidR="00F14EAC" w:rsidRDefault="00902EAF">
            <w:pPr>
              <w:widowControl/>
              <w:spacing w:line="280" w:lineRule="exact"/>
              <w:jc w:val="center"/>
              <w:textAlignment w:val="center"/>
              <w:rPr>
                <w:rFonts w:ascii="方正黑体_GBK" w:eastAsia="方正黑体_GBK" w:hAnsi="方正黑体_GBK" w:cs="方正黑体_GBK"/>
                <w:sz w:val="21"/>
                <w:szCs w:val="21"/>
              </w:rPr>
            </w:pPr>
            <w:r>
              <w:rPr>
                <w:rFonts w:ascii="方正黑体_GBK" w:eastAsia="方正黑体_GBK" w:hAnsi="方正黑体_GBK" w:cs="方正黑体_GBK" w:hint="eastAsia"/>
                <w:kern w:val="0"/>
                <w:sz w:val="21"/>
                <w:szCs w:val="21"/>
                <w:lang w:bidi="ar"/>
              </w:rPr>
              <w:t>检查结果</w:t>
            </w:r>
          </w:p>
        </w:tc>
        <w:tc>
          <w:tcPr>
            <w:tcW w:w="911" w:type="dxa"/>
            <w:tcBorders>
              <w:tl2br w:val="nil"/>
              <w:tr2bl w:val="nil"/>
            </w:tcBorders>
            <w:vAlign w:val="center"/>
          </w:tcPr>
          <w:p w:rsidR="00F14EAC" w:rsidRDefault="00902EAF">
            <w:pPr>
              <w:widowControl/>
              <w:spacing w:line="280" w:lineRule="exact"/>
              <w:jc w:val="center"/>
              <w:textAlignment w:val="center"/>
              <w:rPr>
                <w:rFonts w:ascii="方正黑体_GBK" w:eastAsia="方正黑体_GBK" w:hAnsi="方正黑体_GBK" w:cs="方正黑体_GBK"/>
                <w:sz w:val="21"/>
                <w:szCs w:val="21"/>
              </w:rPr>
            </w:pPr>
            <w:r>
              <w:rPr>
                <w:rFonts w:ascii="方正黑体_GBK" w:eastAsia="方正黑体_GBK" w:hAnsi="方正黑体_GBK" w:cs="方正黑体_GBK" w:hint="eastAsia"/>
                <w:kern w:val="0"/>
                <w:sz w:val="21"/>
                <w:szCs w:val="21"/>
                <w:lang w:bidi="ar"/>
              </w:rPr>
              <w:t>备注</w:t>
            </w:r>
          </w:p>
        </w:tc>
        <w:tc>
          <w:tcPr>
            <w:tcW w:w="585"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风险分值</w:t>
            </w:r>
          </w:p>
        </w:tc>
        <w:tc>
          <w:tcPr>
            <w:tcW w:w="779"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大型及以上餐饮</w:t>
            </w:r>
          </w:p>
        </w:tc>
        <w:tc>
          <w:tcPr>
            <w:tcW w:w="616"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中型餐饮</w:t>
            </w:r>
          </w:p>
        </w:tc>
        <w:tc>
          <w:tcPr>
            <w:tcW w:w="644"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小微型餐饮</w:t>
            </w:r>
          </w:p>
        </w:tc>
        <w:tc>
          <w:tcPr>
            <w:tcW w:w="484"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学校食堂</w:t>
            </w:r>
          </w:p>
        </w:tc>
        <w:tc>
          <w:tcPr>
            <w:tcW w:w="634"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养老机构、医院食堂</w:t>
            </w:r>
          </w:p>
        </w:tc>
        <w:tc>
          <w:tcPr>
            <w:tcW w:w="436"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其他食堂</w:t>
            </w:r>
          </w:p>
        </w:tc>
        <w:tc>
          <w:tcPr>
            <w:tcW w:w="451"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中央厨房</w:t>
            </w:r>
          </w:p>
        </w:tc>
        <w:tc>
          <w:tcPr>
            <w:tcW w:w="535"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集体用餐配送单位</w:t>
            </w:r>
          </w:p>
        </w:tc>
        <w:tc>
          <w:tcPr>
            <w:tcW w:w="800" w:type="dxa"/>
            <w:tcBorders>
              <w:tl2br w:val="nil"/>
              <w:tr2bl w:val="nil"/>
            </w:tcBorders>
            <w:vAlign w:val="center"/>
          </w:tcPr>
          <w:p w:rsidR="00F14EAC" w:rsidRDefault="00902EAF">
            <w:pPr>
              <w:widowControl/>
              <w:spacing w:line="280" w:lineRule="exact"/>
              <w:jc w:val="center"/>
              <w:textAlignment w:val="center"/>
              <w:rPr>
                <w:rFonts w:eastAsia="方正黑体_GBK"/>
                <w:kern w:val="0"/>
                <w:sz w:val="21"/>
                <w:szCs w:val="21"/>
                <w:lang w:bidi="ar"/>
              </w:rPr>
            </w:pPr>
            <w:r>
              <w:rPr>
                <w:rFonts w:eastAsia="方正黑体_GBK"/>
                <w:kern w:val="0"/>
                <w:sz w:val="21"/>
                <w:szCs w:val="21"/>
                <w:lang w:val="zh-CN" w:bidi="ar"/>
              </w:rPr>
              <w:t>食品自动制售经营者</w:t>
            </w:r>
          </w:p>
        </w:tc>
        <w:tc>
          <w:tcPr>
            <w:tcW w:w="568"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餐饮摊贩</w:t>
            </w:r>
          </w:p>
        </w:tc>
        <w:tc>
          <w:tcPr>
            <w:tcW w:w="796" w:type="dxa"/>
            <w:tcBorders>
              <w:tl2br w:val="nil"/>
              <w:tr2bl w:val="nil"/>
            </w:tcBorders>
            <w:vAlign w:val="center"/>
          </w:tcPr>
          <w:p w:rsidR="00F14EAC" w:rsidRDefault="00902EAF">
            <w:pPr>
              <w:widowControl/>
              <w:spacing w:line="280" w:lineRule="exact"/>
              <w:jc w:val="center"/>
              <w:textAlignment w:val="center"/>
              <w:rPr>
                <w:rFonts w:eastAsia="方正黑体_GBK"/>
                <w:sz w:val="21"/>
                <w:szCs w:val="21"/>
              </w:rPr>
            </w:pPr>
            <w:r>
              <w:rPr>
                <w:rFonts w:eastAsia="方正黑体_GBK"/>
                <w:kern w:val="0"/>
                <w:sz w:val="21"/>
                <w:szCs w:val="21"/>
                <w:lang w:bidi="ar"/>
              </w:rPr>
              <w:t>一条龙</w:t>
            </w: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r>
              <w:rPr>
                <w:kern w:val="0"/>
                <w:sz w:val="21"/>
                <w:szCs w:val="21"/>
                <w:lang w:bidi="ar"/>
              </w:rPr>
              <w:t>餐饮服务提供者资质</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食品经营许可证（备案证）合法有效、与经营场所（实体门店）地址一致。</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否定项</w:t>
            </w:r>
          </w:p>
        </w:tc>
        <w:tc>
          <w:tcPr>
            <w:tcW w:w="585" w:type="dxa"/>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626"/>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未超出许可经营项目开展餐饮服务活动。销售特殊食品的，许可证应标注相应项目。</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720"/>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r>
              <w:rPr>
                <w:kern w:val="0"/>
                <w:sz w:val="21"/>
                <w:szCs w:val="21"/>
                <w:lang w:bidi="ar"/>
              </w:rPr>
              <w:t>信息公示</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在经营场所的显著位置悬挂或者摆放食品经营许可证正本，或以电子形式公示。</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曾开展过日常监督检查的餐饮服务提供者，按规定在经营场所醒目位置张贴或者公开展示对消费者有重要影响的监督检查结果记录表。</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公示从事接触直接入口食品工作的从业人员的有效健康证明。</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820"/>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2.4</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入网餐饮服务提供者在线上经营活动主页面公示餐饮服务提供者名称、地址、食品经营许可证等信息，公示信息真实，及时更新。</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546"/>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2.5</w:t>
            </w:r>
          </w:p>
        </w:tc>
        <w:tc>
          <w:tcPr>
            <w:tcW w:w="4407" w:type="dxa"/>
            <w:tcBorders>
              <w:tl2br w:val="nil"/>
              <w:tr2bl w:val="nil"/>
            </w:tcBorders>
            <w:vAlign w:val="center"/>
          </w:tcPr>
          <w:p w:rsidR="00F14EAC" w:rsidRDefault="00902EAF">
            <w:pPr>
              <w:widowControl/>
              <w:spacing w:line="280" w:lineRule="exact"/>
              <w:jc w:val="lef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实施“明厨亮灶”，展示食品加工过程。</w:t>
            </w:r>
            <w:r>
              <w:rPr>
                <w:rFonts w:ascii="方正仿宋_GBK" w:hAnsi="方正仿宋_GBK" w:cs="方正仿宋_GBK" w:hint="eastAsia"/>
                <w:kern w:val="0"/>
                <w:sz w:val="21"/>
                <w:szCs w:val="21"/>
                <w:lang w:bidi="ar"/>
              </w:rPr>
              <w:t>(</w:t>
            </w:r>
            <w:r>
              <w:rPr>
                <w:rFonts w:ascii="方正仿宋_GBK" w:hAnsi="方正仿宋_GBK" w:cs="方正仿宋_GBK" w:hint="eastAsia"/>
                <w:kern w:val="0"/>
                <w:sz w:val="21"/>
                <w:szCs w:val="21"/>
                <w:lang w:bidi="ar"/>
              </w:rPr>
              <w:t>不计入风险评分，只作为工作统计</w:t>
            </w:r>
            <w:r>
              <w:rPr>
                <w:rFonts w:ascii="方正仿宋_GBK" w:hAnsi="方正仿宋_GBK" w:cs="方正仿宋_GBK" w:hint="eastAsia"/>
                <w:kern w:val="0"/>
                <w:sz w:val="21"/>
                <w:szCs w:val="21"/>
                <w:lang w:bidi="ar"/>
              </w:rPr>
              <w:t>)</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w:t>
            </w:r>
            <w:r>
              <w:rPr>
                <w:kern w:val="0"/>
                <w:sz w:val="21"/>
                <w:szCs w:val="21"/>
                <w:lang w:bidi="ar"/>
              </w:rPr>
              <w:t>从业人员健康管理</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制定从业人员健康管理制度。</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52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餐饮服务企业对各岗位从业人员进行相应的食品安全知识培训，做好培训记录。</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有每日健康检查（晨检）记录。从事接触直接入口食品工作的从业人员持有有效的健康证明，未患有碍食品安全病症或手部有伤口。</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3.4</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在岗从业人员保持良好个人卫生，手部清洁，无留长指甲、涂指甲油、饰物外露等情形。</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3.5</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spacing w:val="-6"/>
                <w:kern w:val="0"/>
                <w:sz w:val="21"/>
                <w:szCs w:val="21"/>
                <w:lang w:bidi="ar"/>
              </w:rPr>
              <w:t>在岗从业人员穿戴洁净的工作衣帽。专间、专用操作区和其他操作区的从业人员工作服有明显区分</w:t>
            </w:r>
            <w:r>
              <w:rPr>
                <w:rFonts w:ascii="方正仿宋_GBK" w:hAnsi="方正仿宋_GBK" w:cs="方正仿宋_GBK" w:hint="eastAsia"/>
                <w:kern w:val="0"/>
                <w:sz w:val="21"/>
                <w:szCs w:val="21"/>
                <w:lang w:bidi="ar"/>
              </w:rPr>
              <w:t>。</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3.6</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专间及专用操作区内的从业人员操作时，佩戴清洁的口罩，口罩遮住口鼻。</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3.7</w:t>
            </w:r>
          </w:p>
        </w:tc>
        <w:tc>
          <w:tcPr>
            <w:tcW w:w="4407" w:type="dxa"/>
            <w:tcBorders>
              <w:tl2br w:val="nil"/>
              <w:tr2bl w:val="nil"/>
            </w:tcBorders>
            <w:vAlign w:val="center"/>
          </w:tcPr>
          <w:p w:rsidR="00F14EAC" w:rsidRDefault="00902EAF">
            <w:pPr>
              <w:widowControl/>
              <w:spacing w:line="280" w:lineRule="exact"/>
              <w:jc w:val="lef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学校食堂应当建立安全保卫制度</w:t>
            </w:r>
            <w:r>
              <w:rPr>
                <w:rFonts w:ascii="方正仿宋_GBK" w:hAnsi="方正仿宋_GBK" w:cs="方正仿宋_GBK" w:hint="eastAsia"/>
                <w:kern w:val="0"/>
                <w:sz w:val="21"/>
                <w:szCs w:val="21"/>
                <w:lang w:bidi="ar"/>
              </w:rPr>
              <w:t>,</w:t>
            </w:r>
            <w:r>
              <w:rPr>
                <w:rFonts w:ascii="方正仿宋_GBK" w:hAnsi="方正仿宋_GBK" w:cs="方正仿宋_GBK" w:hint="eastAsia"/>
                <w:kern w:val="0"/>
                <w:sz w:val="21"/>
                <w:szCs w:val="21"/>
                <w:lang w:bidi="ar"/>
              </w:rPr>
              <w:t>禁止非食堂从业人员未经允许进入食品处理区。</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728"/>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w:t>
            </w:r>
            <w:r>
              <w:rPr>
                <w:kern w:val="0"/>
                <w:sz w:val="21"/>
                <w:szCs w:val="21"/>
                <w:lang w:bidi="ar"/>
              </w:rPr>
              <w:t>原料控制（含食品添加剂、食品相关产品）</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随机抽查的餐饮服务提供者的食品、食品添加剂、食品相关产品有进货查验记录和合格证明文件。</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食品贮存区不存在食品与非食品混放情形，未存放有毒有害物质；食品贮存符合分类、分架、离墙、离地、有标识等要求。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73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需冷冻（藏）的食品原料、半成品和成品及时按要求进行冷冻（藏）。冷冻（藏）设施中的食品不存在原料、半成品、成品混放等情形；冷冻（藏）设施设有可正确显示内部温度的测温装置，冷冻（藏）温度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*4.4</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现场未查见无标签标识、无法说明来源以及其他明令禁止生产经营的物质。</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4.5</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特定餐饮服务提供者建立供货者评价和退出机制，自行或委托第三方机构定期对供货者食品安全状况进行现场评价。</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4.6</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在加工间和贮存设施内随机抽查的食品原料感官性状无异常、食品包装和标签标识符合要求。未采购、贮存、使用散装食盐。</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4.7</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对变质、超过保质期或者回收的食品进行显著标示或者单独存放在有明确标志的场所，及时进行无害化处理、销毁等，并如实记录。</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*4.8</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食品加工用水水质符合生活饮用水卫生标准。加工制作现榨果蔬汁和食用冰等直接入口食品的用水通过净水设施处理，或使用预包装饮用水、煮沸冷却后的生活饮用水。</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4.9</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经营的保健食品有“蓝帽子”标志且标识齐全，无声称疾病预防、治疗以及虚假、夸大宣传内容等。</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w:t>
            </w:r>
            <w:r>
              <w:rPr>
                <w:kern w:val="0"/>
                <w:sz w:val="21"/>
                <w:szCs w:val="21"/>
                <w:lang w:bidi="ar"/>
              </w:rPr>
              <w:t>加工制作过程</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具有与其加工制作的食品品种、数量相适应的加工场所及设施设备等。</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textAlignment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5.1.1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中央厨房和集体用餐配送单位按照生产经营的食品类别、品种分别设置原料进入、原料处理、加工制作单一流向加工流程及相应加工间，防止不同原料、品种交叉污染。</w:t>
            </w:r>
          </w:p>
        </w:tc>
        <w:tc>
          <w:tcPr>
            <w:tcW w:w="667" w:type="dxa"/>
            <w:tcBorders>
              <w:tl2br w:val="nil"/>
              <w:tr2bl w:val="nil"/>
            </w:tcBorders>
            <w:vAlign w:val="center"/>
          </w:tcPr>
          <w:p w:rsidR="00F14EAC" w:rsidRDefault="00902EAF">
            <w:pPr>
              <w:spacing w:line="280" w:lineRule="exact"/>
              <w:jc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原料、半成品、成品及其盛放容器和加工制作工具区分标识明显、分开放置和使用；防止食品交叉污染的措施有效。</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不存在《食品安全法》等法律、法规禁止的行为。</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5.4</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食品原料洗净后使用。各类水池有明显标识标明用途，分类清洗动物性食品、植物性食品和水产品。未经清洁的禽蛋使用前清洁外壳。</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73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5.5</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盛放调味料的容器保持清洁，加盖存放。煎炸油的色泽、气味、状态无异常，必要时进行检测。油炸类食品、烧烤类食品、火锅类食品、糕点类食品、自制饮品等加工过程符合要求。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*5.6</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专间及专用操作区的标识、设施、人员及操作符合要求。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5.6.1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专间设置在清洁操作区，是独立的隔间，地上无明沟。专间的门能自动闭合，设置可开闭的窗口传递食品。</w:t>
            </w:r>
          </w:p>
        </w:tc>
        <w:tc>
          <w:tcPr>
            <w:tcW w:w="667" w:type="dxa"/>
            <w:tcBorders>
              <w:tl2br w:val="nil"/>
              <w:tr2bl w:val="nil"/>
            </w:tcBorders>
            <w:vAlign w:val="center"/>
          </w:tcPr>
          <w:p w:rsidR="00F14EAC" w:rsidRDefault="00902EAF">
            <w:pPr>
              <w:spacing w:line="280" w:lineRule="exact"/>
              <w:jc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5.6.2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专间设备独立的空调，温度不高于</w:t>
            </w:r>
            <w:r>
              <w:rPr>
                <w:rFonts w:ascii="方正仿宋_GBK" w:hAnsi="方正仿宋_GBK" w:cs="方正仿宋_GBK" w:hint="eastAsia"/>
                <w:kern w:val="0"/>
                <w:sz w:val="21"/>
                <w:szCs w:val="21"/>
                <w:lang w:bidi="ar"/>
              </w:rPr>
              <w:t>25</w:t>
            </w:r>
            <w:r>
              <w:rPr>
                <w:rFonts w:ascii="方正仿宋_GBK" w:hAnsi="方正仿宋_GBK" w:cs="方正仿宋_GBK" w:hint="eastAsia"/>
                <w:kern w:val="0"/>
                <w:sz w:val="21"/>
                <w:szCs w:val="21"/>
                <w:lang w:bidi="ar"/>
              </w:rPr>
              <w:t>℃；设置紫外线灯等空气消毒设施</w:t>
            </w:r>
            <w:r>
              <w:rPr>
                <w:rFonts w:ascii="方正仿宋_GBK" w:hAnsi="方正仿宋_GBK" w:cs="方正仿宋_GBK" w:hint="eastAsia"/>
                <w:kern w:val="0"/>
                <w:sz w:val="21"/>
                <w:szCs w:val="21"/>
                <w:lang w:bidi="ar"/>
              </w:rPr>
              <w:t>,</w:t>
            </w:r>
            <w:r>
              <w:rPr>
                <w:rFonts w:ascii="方正仿宋_GBK" w:hAnsi="方正仿宋_GBK" w:cs="方正仿宋_GBK" w:hint="eastAsia"/>
                <w:kern w:val="0"/>
                <w:sz w:val="21"/>
                <w:szCs w:val="21"/>
                <w:lang w:bidi="ar"/>
              </w:rPr>
              <w:t>专用洗手消毒设施；设置专用的冷藏设施。废弃物容器的盖子为非手动开启式。</w:t>
            </w:r>
          </w:p>
        </w:tc>
        <w:tc>
          <w:tcPr>
            <w:tcW w:w="667" w:type="dxa"/>
            <w:tcBorders>
              <w:tl2br w:val="nil"/>
              <w:tr2bl w:val="nil"/>
            </w:tcBorders>
            <w:vAlign w:val="center"/>
          </w:tcPr>
          <w:p w:rsidR="00F14EAC" w:rsidRDefault="00902EAF">
            <w:pPr>
              <w:spacing w:line="280" w:lineRule="exact"/>
              <w:jc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5.6.3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专间的工具容器专用。专间存放食品为可直接入口食品。</w:t>
            </w:r>
          </w:p>
        </w:tc>
        <w:tc>
          <w:tcPr>
            <w:tcW w:w="667" w:type="dxa"/>
            <w:tcBorders>
              <w:tl2br w:val="nil"/>
              <w:tr2bl w:val="nil"/>
            </w:tcBorders>
            <w:vAlign w:val="center"/>
          </w:tcPr>
          <w:p w:rsidR="00F14EAC" w:rsidRDefault="00902EAF">
            <w:pPr>
              <w:spacing w:line="280" w:lineRule="exact"/>
              <w:jc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5.6.4</w:t>
            </w:r>
          </w:p>
        </w:tc>
        <w:tc>
          <w:tcPr>
            <w:tcW w:w="4407" w:type="dxa"/>
            <w:tcBorders>
              <w:tl2br w:val="nil"/>
              <w:tr2bl w:val="nil"/>
            </w:tcBorders>
            <w:vAlign w:val="center"/>
          </w:tcPr>
          <w:p w:rsidR="00F14EAC" w:rsidRDefault="00902EAF">
            <w:pPr>
              <w:widowControl/>
              <w:spacing w:line="280" w:lineRule="exact"/>
              <w:jc w:val="lef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专间内由专人加工制作，加工人员穿戴专用工作衣帽、配戴口罩。</w:t>
            </w:r>
          </w:p>
        </w:tc>
        <w:tc>
          <w:tcPr>
            <w:tcW w:w="667" w:type="dxa"/>
            <w:tcBorders>
              <w:tl2br w:val="nil"/>
              <w:tr2bl w:val="nil"/>
            </w:tcBorders>
            <w:vAlign w:val="center"/>
          </w:tcPr>
          <w:p w:rsidR="00F14EAC" w:rsidRDefault="00902EAF">
            <w:pPr>
              <w:spacing w:line="280" w:lineRule="exact"/>
              <w:jc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5.6.5</w:t>
            </w:r>
          </w:p>
        </w:tc>
        <w:tc>
          <w:tcPr>
            <w:tcW w:w="4407" w:type="dxa"/>
            <w:tcBorders>
              <w:tl2br w:val="nil"/>
              <w:tr2bl w:val="nil"/>
            </w:tcBorders>
            <w:vAlign w:val="center"/>
          </w:tcPr>
          <w:p w:rsidR="00F14EAC" w:rsidRDefault="00902EAF">
            <w:pPr>
              <w:widowControl/>
              <w:spacing w:line="280" w:lineRule="exact"/>
              <w:jc w:val="lef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在专用操作区内从事备餐、制作现榨果蔬汁或果蔬拼盘、制作植物性冷食类食品（不含非发酵豆制品）及预包装食品的拆封、装盘、调味等加工制作。</w:t>
            </w:r>
          </w:p>
        </w:tc>
        <w:tc>
          <w:tcPr>
            <w:tcW w:w="667" w:type="dxa"/>
            <w:tcBorders>
              <w:tl2br w:val="nil"/>
              <w:tr2bl w:val="nil"/>
            </w:tcBorders>
            <w:vAlign w:val="center"/>
          </w:tcPr>
          <w:p w:rsidR="00F14EAC" w:rsidRDefault="00902EAF">
            <w:pPr>
              <w:spacing w:line="280" w:lineRule="exact"/>
              <w:jc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73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5.7</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学校（含托幼机构）食堂、养老机构食堂、医疗机构食堂、建筑工地食堂等集中用餐单位的食堂以及中央厨房、集体用餐配送单位、一次性集体聚餐人数超过</w:t>
            </w:r>
            <w:r>
              <w:rPr>
                <w:rFonts w:ascii="方正仿宋_GBK" w:hAnsi="方正仿宋_GBK" w:cs="方正仿宋_GBK" w:hint="eastAsia"/>
                <w:kern w:val="0"/>
                <w:sz w:val="21"/>
                <w:szCs w:val="21"/>
                <w:lang w:bidi="ar"/>
              </w:rPr>
              <w:t>100</w:t>
            </w:r>
            <w:r>
              <w:rPr>
                <w:rFonts w:ascii="方正仿宋_GBK" w:hAnsi="方正仿宋_GBK" w:cs="方正仿宋_GBK" w:hint="eastAsia"/>
                <w:kern w:val="0"/>
                <w:sz w:val="21"/>
                <w:szCs w:val="21"/>
                <w:lang w:bidi="ar"/>
              </w:rPr>
              <w:t>人或为重大活动供餐的餐饮服务提供者，按规定留样。</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*5.8</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中小学、幼儿园食堂未制售冷荤类食品、生食类食品、裱花蛋糕，未加工制作四季豆、鲜黄花菜、野生蘑菇、发芽土豆等高风险食品，未设置酒销售点。</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5.9</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集中用餐供餐单位食品应当餐加工，需要熟制的食品应烧熟煮透。</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6.</w:t>
            </w:r>
            <w:r>
              <w:rPr>
                <w:kern w:val="0"/>
                <w:sz w:val="21"/>
                <w:szCs w:val="21"/>
                <w:lang w:bidi="ar"/>
              </w:rPr>
              <w:t>食品添加剂使用管理</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6.1</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食品添加剂存放、使用、管理符合要求。使用食品添加剂确有必要，无超范围超剂量使用。</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87"/>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*6.2</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未采购、贮存、使用亚硝酸盐等国家禁止在餐饮业使用的品种。</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w:t>
            </w:r>
            <w:r>
              <w:rPr>
                <w:kern w:val="0"/>
                <w:sz w:val="21"/>
                <w:szCs w:val="21"/>
                <w:lang w:bidi="ar"/>
              </w:rPr>
              <w:t>备餐、供餐与配送</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*7.1</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备餐场所、备餐人员个人卫生、盛装食品成品的容器和分派菜肴整理造型的工具、菜肴围边和盘花符合要求。食品存放温度和时间符合要求。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7.2</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采取有效措施，防止供餐过程中食品受到污染。学校食堂就餐区或者就餐区附近应当设置供用餐者清洗手部以及餐具、饮具的用水设施。</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933"/>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7.3</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具备符合贮存、运输要求的设施设备。食品的传送电梯、配送车辆、存放食品的车厢或配送箱（包）、与食品直接接触的配送容器符合要求。食品配送过程符合要求。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610"/>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7.4</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中央厨房配送过程中，食品的包装或盛放符合要求，包装或盛放容器上标注的信息符合要求。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500"/>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7.5</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集体用餐配送单位配送过程中，食品的盛放容器密闭，食品容器上标注的信息符合要求。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928"/>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7.6</w:t>
            </w:r>
          </w:p>
        </w:tc>
        <w:tc>
          <w:tcPr>
            <w:tcW w:w="4407" w:type="dxa"/>
            <w:tcBorders>
              <w:tl2br w:val="nil"/>
              <w:tr2bl w:val="nil"/>
            </w:tcBorders>
            <w:vAlign w:val="center"/>
          </w:tcPr>
          <w:p w:rsidR="00F14EAC" w:rsidRDefault="00902EAF">
            <w:pPr>
              <w:widowControl/>
              <w:spacing w:line="26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外卖送餐人员保持个人卫生、配送箱（包）保持清洁。配送箱（包）中，直接入口食品和非直接入口食品、需低温保存的食品和热食品分隔放置，并保证食品温度符合食品安全要求。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7.7</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供应保健食品应设置专架并醒目提示。</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8.</w:t>
            </w:r>
            <w:r>
              <w:rPr>
                <w:kern w:val="0"/>
                <w:sz w:val="21"/>
                <w:szCs w:val="21"/>
                <w:lang w:bidi="ar"/>
              </w:rPr>
              <w:t>场所和设备设施清洁维护</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8.1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未在餐饮经营场所内饲养、暂养和宰杀畜禽；场所及设施设备布局合理。</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8.2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保持餐饮经营场所环境清洁，墙壁、天花板、门窗、地面、排水沟、操作台、食品加工用具等无破损、霉斑、积油、积水、污垢等。</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*8.3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冷冻（藏）、保温、陈列、采光、通风、洗手、消毒、三防等设施设备能正常使用。特定餐饮服务提供者具有设施设备维护记录。</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73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*8.4</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有害生物防治措施有效，不存在明显的有害生物活动迹象。餐饮服务企业、中央厨房、集体用餐配送单位、学校（含托幼机构）食堂、养老机构食堂、医疗机构食堂有定期除虫灭害记录。</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6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8.5</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卫生间设置位置符合要求，能够保持清洁。</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6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8.6</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餐厨废弃物的存放及清理符合要求。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w:t>
            </w:r>
            <w:r>
              <w:rPr>
                <w:kern w:val="0"/>
                <w:sz w:val="21"/>
                <w:szCs w:val="21"/>
                <w:lang w:bidi="ar"/>
              </w:rPr>
              <w:t>餐饮具清洗消毒</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餐用具清洗水池专用，标有明显标识，满足清洗需要。使用的洗涤剂符合食品安全国家标准，包装标识齐全。</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采用物理消毒的，消毒设施（包括一体化洗碗消毒机）运转正常并能满足消毒需要。采用化学消毒的，使用的消毒剂为正规产品，消毒液使用、配制等符合要求。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保洁设施符合相关要求，保洁设施内存放的餐饮具保持清洁。</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*9.4</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使用集中清洗消毒餐饮具的，查验、留存集中消毒服务单位的营业执照复印件和消毒合格证明。餐饮具包装无破损、标识符合要求、在使用期限内。</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*9.5</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未发现使用未经清洗消毒的餐饮具、重复使用一次性餐饮具。</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68"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9.6</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消毒后的餐饮具表面光洁，无油渍、残渣、异味，符合</w:t>
            </w:r>
            <w:r>
              <w:rPr>
                <w:rFonts w:ascii="方正仿宋_GBK" w:hAnsi="方正仿宋_GBK" w:cs="方正仿宋_GBK" w:hint="eastAsia"/>
                <w:kern w:val="0"/>
                <w:sz w:val="21"/>
                <w:szCs w:val="21"/>
                <w:lang w:bidi="ar"/>
              </w:rPr>
              <w:t>GB 14934</w:t>
            </w:r>
            <w:r>
              <w:rPr>
                <w:rFonts w:ascii="方正仿宋_GBK" w:hAnsi="方正仿宋_GBK" w:cs="方正仿宋_GBK" w:hint="eastAsia"/>
                <w:kern w:val="0"/>
                <w:sz w:val="21"/>
                <w:szCs w:val="21"/>
                <w:lang w:bidi="ar"/>
              </w:rPr>
              <w:t>《食品安全国家标准消毒餐（饮）具》的规定。</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73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w:t>
            </w:r>
            <w:r>
              <w:rPr>
                <w:kern w:val="0"/>
                <w:sz w:val="21"/>
                <w:szCs w:val="21"/>
                <w:lang w:bidi="ar"/>
              </w:rPr>
              <w:t>食品安全管理</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10.1</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建立并不断完善健全食品安全管理制度，特定餐饮服务提供者制定加工操作规程。中央厨房、集体用餐配送单位、连锁餐饮企业总部、网络餐饮服务第三方平台提供者设立食品安全管理机构。</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jc w:val="center"/>
              <w:textAlignment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2</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73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10.2</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餐饮服务企业、网络餐饮服务第三方平台提供者、学校（含托幼机构）食堂、养老机构食堂、医疗机构食堂配备专职或兼职食品安全管理人员，留存食品安全管理人员任职文件等证明资料。</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*10.3</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随机对食品安全管理人员抽查考核食品安全知识，结果符合要求。</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10.4</w:t>
            </w:r>
          </w:p>
        </w:tc>
        <w:tc>
          <w:tcPr>
            <w:tcW w:w="4407" w:type="dxa"/>
            <w:tcBorders>
              <w:tl2br w:val="nil"/>
              <w:tr2bl w:val="nil"/>
            </w:tcBorders>
            <w:vAlign w:val="center"/>
          </w:tcPr>
          <w:p w:rsidR="00F14EAC" w:rsidRDefault="00902EAF">
            <w:pPr>
              <w:widowControl/>
              <w:spacing w:line="28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餐饮服务企业、网络餐饮服务第三方平台提供者、学校（含托幼机构）食堂、养老机构食堂、医疗机构食堂有食品安全事故处置方案。</w:t>
            </w:r>
          </w:p>
        </w:tc>
        <w:tc>
          <w:tcPr>
            <w:tcW w:w="667" w:type="dxa"/>
            <w:tcBorders>
              <w:tl2br w:val="nil"/>
              <w:tr2bl w:val="nil"/>
            </w:tcBorders>
            <w:vAlign w:val="center"/>
          </w:tcPr>
          <w:p w:rsidR="00F14EAC" w:rsidRDefault="00902EAF">
            <w:pPr>
              <w:widowControl/>
              <w:spacing w:line="28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3</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*10.5</w:t>
            </w:r>
          </w:p>
        </w:tc>
        <w:tc>
          <w:tcPr>
            <w:tcW w:w="4407" w:type="dxa"/>
            <w:tcBorders>
              <w:tl2br w:val="nil"/>
              <w:tr2bl w:val="nil"/>
            </w:tcBorders>
            <w:vAlign w:val="center"/>
          </w:tcPr>
          <w:p w:rsidR="00F14EAC" w:rsidRDefault="00902EAF">
            <w:pPr>
              <w:widowControl/>
              <w:spacing w:line="24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建立食品安全自查制度，定期对食品安全状况进行检查评价，有食品安全自查记录，自查频次和内容符合相关规定。自查内容真实反映管理现状，及时整改发现的问题。</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sz w:val="21"/>
                <w:szCs w:val="21"/>
              </w:rPr>
            </w:pPr>
            <w:r>
              <w:rPr>
                <w:rStyle w:val="font51"/>
                <w:rFonts w:ascii="方正仿宋_GBK" w:eastAsia="方正仿宋_GBK" w:hAnsi="方正仿宋_GBK" w:cs="方正仿宋_GBK"/>
                <w:color w:val="auto"/>
                <w:sz w:val="21"/>
                <w:szCs w:val="21"/>
                <w:lang w:bidi="ar"/>
              </w:rPr>
              <w:t>□是</w:t>
            </w:r>
            <w:r>
              <w:rPr>
                <w:rStyle w:val="font51"/>
                <w:rFonts w:ascii="方正仿宋_GBK" w:eastAsia="方正仿宋_GBK" w:hAnsi="方正仿宋_GBK" w:cs="方正仿宋_GBK"/>
                <w:color w:val="auto"/>
                <w:sz w:val="21"/>
                <w:szCs w:val="21"/>
                <w:lang w:bidi="ar"/>
              </w:rPr>
              <w:t xml:space="preserve"> </w:t>
            </w:r>
            <w:r>
              <w:rPr>
                <w:rStyle w:val="font51"/>
                <w:rFonts w:ascii="方正仿宋_GBK" w:eastAsia="方正仿宋_GBK" w:hAnsi="方正仿宋_GBK" w:cs="方正仿宋_GBK"/>
                <w:color w:val="auto"/>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3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902EAF">
            <w:pPr>
              <w:spacing w:line="280" w:lineRule="exact"/>
              <w:jc w:val="center"/>
              <w:rPr>
                <w:sz w:val="21"/>
                <w:szCs w:val="21"/>
              </w:rPr>
            </w:pPr>
            <w:r>
              <w:rPr>
                <w:sz w:val="21"/>
                <w:szCs w:val="21"/>
              </w:rPr>
              <w:t>1</w:t>
            </w: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10.6</w:t>
            </w:r>
          </w:p>
        </w:tc>
        <w:tc>
          <w:tcPr>
            <w:tcW w:w="4407" w:type="dxa"/>
            <w:tcBorders>
              <w:tl2br w:val="nil"/>
              <w:tr2bl w:val="nil"/>
            </w:tcBorders>
            <w:vAlign w:val="center"/>
          </w:tcPr>
          <w:p w:rsidR="00F14EAC" w:rsidRDefault="00902EAF">
            <w:pPr>
              <w:widowControl/>
              <w:spacing w:line="240" w:lineRule="exact"/>
              <w:jc w:val="lef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中央厨房和集体用餐配送单位自行或委托具有资质的第三方机构定期对大宗食品原料、加工制作环境进行检验检测，有检验检测结果记录。</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sz w:val="21"/>
                <w:szCs w:val="21"/>
              </w:rPr>
            </w:pPr>
            <w:r>
              <w:rPr>
                <w:rStyle w:val="font51"/>
                <w:rFonts w:ascii="方正仿宋_GBK" w:eastAsia="方正仿宋_GBK" w:hAnsi="方正仿宋_GBK" w:cs="方正仿宋_GBK"/>
                <w:color w:val="auto"/>
                <w:sz w:val="21"/>
                <w:szCs w:val="21"/>
                <w:lang w:bidi="ar"/>
              </w:rPr>
              <w:t>□是</w:t>
            </w:r>
            <w:r>
              <w:rPr>
                <w:rStyle w:val="font51"/>
                <w:rFonts w:ascii="方正仿宋_GBK" w:eastAsia="方正仿宋_GBK" w:hAnsi="方正仿宋_GBK" w:cs="方正仿宋_GBK"/>
                <w:color w:val="auto"/>
                <w:sz w:val="21"/>
                <w:szCs w:val="21"/>
                <w:lang w:bidi="ar"/>
              </w:rPr>
              <w:t xml:space="preserve"> </w:t>
            </w:r>
            <w:r>
              <w:rPr>
                <w:rStyle w:val="font51"/>
                <w:rFonts w:ascii="方正仿宋_GBK" w:eastAsia="方正仿宋_GBK" w:hAnsi="方正仿宋_GBK" w:cs="方正仿宋_GBK"/>
                <w:color w:val="auto"/>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53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10.7</w:t>
            </w:r>
          </w:p>
        </w:tc>
        <w:tc>
          <w:tcPr>
            <w:tcW w:w="4407" w:type="dxa"/>
            <w:tcBorders>
              <w:tl2br w:val="nil"/>
              <w:tr2bl w:val="nil"/>
            </w:tcBorders>
            <w:vAlign w:val="center"/>
          </w:tcPr>
          <w:p w:rsidR="00F14EAC" w:rsidRDefault="00902EAF">
            <w:pPr>
              <w:widowControl/>
              <w:spacing w:line="240" w:lineRule="exact"/>
              <w:jc w:val="left"/>
              <w:textAlignment w:val="center"/>
              <w:rPr>
                <w:rFonts w:ascii="方正仿宋_GBK" w:hAnsi="方正仿宋_GBK" w:cs="方正仿宋_GBK"/>
                <w:sz w:val="21"/>
                <w:szCs w:val="21"/>
              </w:rPr>
            </w:pPr>
            <w:r>
              <w:rPr>
                <w:rFonts w:ascii="方正仿宋_GBK" w:hAnsi="方正仿宋_GBK" w:cs="方正仿宋_GBK" w:hint="eastAsia"/>
                <w:spacing w:val="-6"/>
                <w:kern w:val="0"/>
                <w:sz w:val="21"/>
                <w:szCs w:val="21"/>
                <w:lang w:bidi="ar"/>
              </w:rPr>
              <w:t>学校食堂建立并落实食品安全岗位责任制，中小学幼儿园食堂建立集中用餐陪餐制度，有陪餐记录</w:t>
            </w:r>
            <w:r>
              <w:rPr>
                <w:rFonts w:ascii="方正仿宋_GBK" w:hAnsi="方正仿宋_GBK" w:cs="方正仿宋_GBK" w:hint="eastAsia"/>
                <w:kern w:val="0"/>
                <w:sz w:val="21"/>
                <w:szCs w:val="21"/>
                <w:lang w:bidi="ar"/>
              </w:rPr>
              <w:t>。</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vMerge/>
            <w:tcBorders>
              <w:tl2br w:val="nil"/>
              <w:tr2bl w:val="nil"/>
            </w:tcBorders>
            <w:vAlign w:val="center"/>
          </w:tcPr>
          <w:p w:rsidR="00F14EAC" w:rsidRDefault="00F14EAC">
            <w:pPr>
              <w:spacing w:line="280" w:lineRule="exact"/>
              <w:jc w:val="center"/>
              <w:rPr>
                <w:sz w:val="21"/>
                <w:szCs w:val="21"/>
              </w:rPr>
            </w:pP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495"/>
          <w:jc w:val="center"/>
        </w:trPr>
        <w:tc>
          <w:tcPr>
            <w:tcW w:w="934" w:type="dxa"/>
            <w:vMerge w:val="restart"/>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11.</w:t>
            </w:r>
            <w:r>
              <w:rPr>
                <w:kern w:val="0"/>
                <w:sz w:val="21"/>
                <w:szCs w:val="21"/>
                <w:lang w:bidi="ar"/>
              </w:rPr>
              <w:t>制止餐饮浪费</w:t>
            </w: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11.1</w:t>
            </w:r>
          </w:p>
        </w:tc>
        <w:tc>
          <w:tcPr>
            <w:tcW w:w="4407" w:type="dxa"/>
            <w:tcBorders>
              <w:tl2br w:val="nil"/>
              <w:tr2bl w:val="nil"/>
            </w:tcBorders>
            <w:vAlign w:val="center"/>
          </w:tcPr>
          <w:p w:rsidR="00F14EAC" w:rsidRDefault="00902EAF">
            <w:pPr>
              <w:widowControl/>
              <w:spacing w:line="24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主动对消费者进行防止食品浪费提示提醒。</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11.2</w:t>
            </w:r>
          </w:p>
        </w:tc>
        <w:tc>
          <w:tcPr>
            <w:tcW w:w="4407" w:type="dxa"/>
            <w:tcBorders>
              <w:tl2br w:val="nil"/>
              <w:tr2bl w:val="nil"/>
            </w:tcBorders>
            <w:vAlign w:val="center"/>
          </w:tcPr>
          <w:p w:rsidR="00F14EAC" w:rsidRDefault="00902EAF">
            <w:pPr>
              <w:widowControl/>
              <w:spacing w:line="24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未发现诱导、误导消费者超量点餐造成明显浪费。</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tcBorders>
              <w:tl2br w:val="nil"/>
              <w:tr2bl w:val="nil"/>
            </w:tcBorders>
            <w:vAlign w:val="center"/>
          </w:tcPr>
          <w:p w:rsidR="00F14EAC" w:rsidRDefault="00F14EAC">
            <w:pPr>
              <w:spacing w:line="280" w:lineRule="exact"/>
              <w:jc w:val="center"/>
              <w:rPr>
                <w:sz w:val="21"/>
                <w:szCs w:val="21"/>
              </w:rPr>
            </w:pPr>
          </w:p>
        </w:tc>
        <w:tc>
          <w:tcPr>
            <w:tcW w:w="74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*11.3</w:t>
            </w:r>
          </w:p>
        </w:tc>
        <w:tc>
          <w:tcPr>
            <w:tcW w:w="4407" w:type="dxa"/>
            <w:tcBorders>
              <w:tl2br w:val="nil"/>
              <w:tr2bl w:val="nil"/>
            </w:tcBorders>
            <w:vAlign w:val="center"/>
          </w:tcPr>
          <w:p w:rsidR="00F14EAC" w:rsidRDefault="00902EAF">
            <w:pPr>
              <w:widowControl/>
              <w:spacing w:line="240" w:lineRule="exact"/>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未发现经营过程中存在严重浪费。</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sz w:val="21"/>
                <w:szCs w:val="21"/>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spacing w:line="280" w:lineRule="exact"/>
              <w:jc w:val="center"/>
              <w:rPr>
                <w:rFonts w:ascii="方正仿宋_GBK" w:hAnsi="方正仿宋_GBK" w:cs="方正仿宋_GBK"/>
                <w:sz w:val="21"/>
                <w:szCs w:val="21"/>
              </w:rPr>
            </w:pPr>
          </w:p>
        </w:tc>
        <w:tc>
          <w:tcPr>
            <w:tcW w:w="585"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w:t>
            </w:r>
          </w:p>
        </w:tc>
        <w:tc>
          <w:tcPr>
            <w:tcW w:w="779"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16" w:type="dxa"/>
            <w:tcBorders>
              <w:tl2br w:val="nil"/>
              <w:tr2bl w:val="nil"/>
            </w:tcBorders>
            <w:vAlign w:val="center"/>
          </w:tcPr>
          <w:p w:rsidR="00F14EAC" w:rsidRDefault="00902EAF">
            <w:pPr>
              <w:widowControl/>
              <w:spacing w:line="280" w:lineRule="exact"/>
              <w:jc w:val="center"/>
              <w:textAlignment w:val="center"/>
              <w:rPr>
                <w:sz w:val="21"/>
                <w:szCs w:val="21"/>
              </w:rPr>
            </w:pPr>
            <w:r>
              <w:rPr>
                <w:kern w:val="0"/>
                <w:sz w:val="21"/>
                <w:szCs w:val="21"/>
                <w:lang w:bidi="ar"/>
              </w:rPr>
              <w:t>1</w:t>
            </w: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35"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800"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r w:rsidR="00F14EAC">
        <w:trPr>
          <w:trHeight w:val="285"/>
          <w:jc w:val="center"/>
        </w:trPr>
        <w:tc>
          <w:tcPr>
            <w:tcW w:w="934" w:type="dxa"/>
            <w:vMerge w:val="restart"/>
            <w:tcBorders>
              <w:tl2br w:val="nil"/>
              <w:tr2bl w:val="nil"/>
            </w:tcBorders>
            <w:vAlign w:val="center"/>
          </w:tcPr>
          <w:p w:rsidR="00F14EAC" w:rsidRDefault="00902EAF">
            <w:pPr>
              <w:widowControl/>
              <w:spacing w:line="280" w:lineRule="exact"/>
              <w:textAlignment w:val="center"/>
              <w:rPr>
                <w:kern w:val="0"/>
                <w:sz w:val="21"/>
                <w:szCs w:val="21"/>
                <w:lang w:bidi="ar"/>
              </w:rPr>
            </w:pPr>
            <w:r>
              <w:rPr>
                <w:kern w:val="0"/>
                <w:sz w:val="21"/>
                <w:szCs w:val="21"/>
                <w:lang w:bidi="ar"/>
              </w:rPr>
              <w:t>12.</w:t>
            </w:r>
            <w:r>
              <w:rPr>
                <w:kern w:val="0"/>
                <w:sz w:val="21"/>
                <w:szCs w:val="21"/>
                <w:lang w:bidi="ar"/>
              </w:rPr>
              <w:t>食品自动制售经营者设备管理</w:t>
            </w:r>
          </w:p>
        </w:tc>
        <w:tc>
          <w:tcPr>
            <w:tcW w:w="745" w:type="dxa"/>
            <w:tcBorders>
              <w:tl2br w:val="nil"/>
              <w:tr2bl w:val="nil"/>
            </w:tcBorders>
            <w:vAlign w:val="center"/>
          </w:tcPr>
          <w:p w:rsidR="00F14EAC" w:rsidRDefault="00902EAF">
            <w:pPr>
              <w:widowControl/>
              <w:spacing w:line="280" w:lineRule="exact"/>
              <w:textAlignment w:val="center"/>
              <w:rPr>
                <w:kern w:val="0"/>
                <w:sz w:val="21"/>
                <w:szCs w:val="21"/>
                <w:lang w:bidi="ar"/>
              </w:rPr>
            </w:pPr>
            <w:r>
              <w:rPr>
                <w:kern w:val="0"/>
                <w:sz w:val="21"/>
                <w:szCs w:val="21"/>
                <w:lang w:bidi="ar"/>
              </w:rPr>
              <w:t>12.1</w:t>
            </w:r>
          </w:p>
        </w:tc>
        <w:tc>
          <w:tcPr>
            <w:tcW w:w="4407" w:type="dxa"/>
            <w:tcBorders>
              <w:tl2br w:val="nil"/>
              <w:tr2bl w:val="nil"/>
            </w:tcBorders>
            <w:vAlign w:val="center"/>
          </w:tcPr>
          <w:p w:rsidR="00F14EAC" w:rsidRDefault="00902EAF">
            <w:pPr>
              <w:widowControl/>
              <w:spacing w:line="240" w:lineRule="exact"/>
              <w:textAlignment w:val="center"/>
              <w:rPr>
                <w:rFonts w:ascii="方正仿宋_GBK" w:hAnsi="方正仿宋_GBK" w:cs="方正仿宋_GBK"/>
                <w:kern w:val="0"/>
                <w:sz w:val="21"/>
                <w:szCs w:val="21"/>
                <w:lang w:bidi="ar"/>
              </w:rPr>
            </w:pPr>
            <w:r>
              <w:rPr>
                <w:rFonts w:ascii="方正仿宋_GBK" w:hAnsi="方正仿宋_GBK" w:cs="方正仿宋_GBK" w:hint="eastAsia"/>
                <w:kern w:val="0"/>
                <w:sz w:val="21"/>
                <w:szCs w:val="21"/>
                <w:lang w:bidi="ar"/>
              </w:rPr>
              <w:t>放置自动售货设备的经营场所环境整洁，与污染源保持合理距离</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kern w:val="0"/>
                <w:sz w:val="21"/>
                <w:szCs w:val="21"/>
                <w:lang w:bidi="ar"/>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textAlignment w:val="center"/>
              <w:rPr>
                <w:rFonts w:ascii="方正仿宋_GBK" w:hAnsi="方正仿宋_GBK" w:cs="方正仿宋_GBK"/>
                <w:kern w:val="0"/>
                <w:sz w:val="21"/>
                <w:szCs w:val="21"/>
                <w:lang w:bidi="ar"/>
              </w:rPr>
            </w:pPr>
          </w:p>
        </w:tc>
        <w:tc>
          <w:tcPr>
            <w:tcW w:w="585"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79"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1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4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8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3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3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51"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35"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9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r>
      <w:tr w:rsidR="00F14EAC">
        <w:trPr>
          <w:trHeight w:val="285"/>
          <w:jc w:val="center"/>
        </w:trPr>
        <w:tc>
          <w:tcPr>
            <w:tcW w:w="934" w:type="dxa"/>
            <w:vMerge/>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45" w:type="dxa"/>
            <w:tcBorders>
              <w:tl2br w:val="nil"/>
              <w:tr2bl w:val="nil"/>
            </w:tcBorders>
            <w:vAlign w:val="center"/>
          </w:tcPr>
          <w:p w:rsidR="00F14EAC" w:rsidRDefault="00902EAF">
            <w:pPr>
              <w:widowControl/>
              <w:spacing w:line="280" w:lineRule="exact"/>
              <w:textAlignment w:val="center"/>
              <w:rPr>
                <w:kern w:val="0"/>
                <w:sz w:val="21"/>
                <w:szCs w:val="21"/>
                <w:lang w:bidi="ar"/>
              </w:rPr>
            </w:pPr>
            <w:r>
              <w:rPr>
                <w:kern w:val="0"/>
                <w:sz w:val="21"/>
                <w:szCs w:val="21"/>
                <w:lang w:bidi="ar"/>
              </w:rPr>
              <w:t>*12.2</w:t>
            </w:r>
          </w:p>
        </w:tc>
        <w:tc>
          <w:tcPr>
            <w:tcW w:w="4407" w:type="dxa"/>
            <w:tcBorders>
              <w:tl2br w:val="nil"/>
              <w:tr2bl w:val="nil"/>
            </w:tcBorders>
            <w:vAlign w:val="center"/>
          </w:tcPr>
          <w:p w:rsidR="00F14EAC" w:rsidRDefault="00902EAF">
            <w:pPr>
              <w:widowControl/>
              <w:spacing w:line="240" w:lineRule="exact"/>
              <w:textAlignment w:val="center"/>
              <w:rPr>
                <w:rFonts w:ascii="方正仿宋_GBK" w:hAnsi="方正仿宋_GBK" w:cs="方正仿宋_GBK"/>
                <w:kern w:val="0"/>
                <w:sz w:val="21"/>
                <w:szCs w:val="21"/>
                <w:lang w:bidi="ar"/>
              </w:rPr>
            </w:pPr>
            <w:r>
              <w:rPr>
                <w:rFonts w:ascii="方正仿宋_GBK" w:hAnsi="方正仿宋_GBK" w:cs="方正仿宋_GBK" w:hint="eastAsia"/>
                <w:spacing w:val="-6"/>
                <w:kern w:val="0"/>
                <w:sz w:val="21"/>
                <w:szCs w:val="21"/>
                <w:lang w:bidi="ar"/>
              </w:rPr>
              <w:t>设施完好密闭，无缺失、损坏，有效防范有害生物</w:t>
            </w:r>
            <w:r>
              <w:rPr>
                <w:rFonts w:ascii="方正仿宋_GBK" w:hAnsi="方正仿宋_GBK" w:cs="方正仿宋_GBK" w:hint="eastAsia"/>
                <w:kern w:val="0"/>
                <w:sz w:val="21"/>
                <w:szCs w:val="21"/>
                <w:lang w:bidi="ar"/>
              </w:rPr>
              <w:t>。</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kern w:val="0"/>
                <w:sz w:val="21"/>
                <w:szCs w:val="21"/>
                <w:lang w:bidi="ar"/>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textAlignment w:val="center"/>
              <w:rPr>
                <w:rFonts w:ascii="方正仿宋_GBK" w:hAnsi="方正仿宋_GBK" w:cs="方正仿宋_GBK"/>
                <w:kern w:val="0"/>
                <w:sz w:val="21"/>
                <w:szCs w:val="21"/>
                <w:lang w:bidi="ar"/>
              </w:rPr>
            </w:pPr>
          </w:p>
        </w:tc>
        <w:tc>
          <w:tcPr>
            <w:tcW w:w="585"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79"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1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4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8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3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3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51"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35"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9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r>
      <w:tr w:rsidR="00F14EAC">
        <w:trPr>
          <w:trHeight w:val="285"/>
          <w:jc w:val="center"/>
        </w:trPr>
        <w:tc>
          <w:tcPr>
            <w:tcW w:w="93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45" w:type="dxa"/>
            <w:tcBorders>
              <w:tl2br w:val="nil"/>
              <w:tr2bl w:val="nil"/>
            </w:tcBorders>
            <w:vAlign w:val="center"/>
          </w:tcPr>
          <w:p w:rsidR="00F14EAC" w:rsidRDefault="00902EAF">
            <w:pPr>
              <w:widowControl/>
              <w:spacing w:line="280" w:lineRule="exact"/>
              <w:textAlignment w:val="center"/>
              <w:rPr>
                <w:kern w:val="0"/>
                <w:sz w:val="21"/>
                <w:szCs w:val="21"/>
                <w:lang w:bidi="ar"/>
              </w:rPr>
            </w:pPr>
            <w:r>
              <w:rPr>
                <w:kern w:val="0"/>
                <w:sz w:val="21"/>
                <w:szCs w:val="21"/>
                <w:lang w:bidi="ar"/>
              </w:rPr>
              <w:t>*12.3</w:t>
            </w:r>
          </w:p>
        </w:tc>
        <w:tc>
          <w:tcPr>
            <w:tcW w:w="4407" w:type="dxa"/>
            <w:tcBorders>
              <w:tl2br w:val="nil"/>
              <w:tr2bl w:val="nil"/>
            </w:tcBorders>
            <w:vAlign w:val="center"/>
          </w:tcPr>
          <w:p w:rsidR="00F14EAC" w:rsidRDefault="00902EAF">
            <w:pPr>
              <w:widowControl/>
              <w:spacing w:line="240" w:lineRule="exact"/>
              <w:textAlignment w:val="center"/>
              <w:rPr>
                <w:kern w:val="0"/>
                <w:sz w:val="21"/>
                <w:szCs w:val="21"/>
                <w:lang w:bidi="ar"/>
              </w:rPr>
            </w:pPr>
            <w:r>
              <w:rPr>
                <w:kern w:val="0"/>
                <w:sz w:val="21"/>
                <w:szCs w:val="21"/>
                <w:lang w:bidi="ar"/>
              </w:rPr>
              <w:t>摆放地址及型号是否与许可记载一致</w:t>
            </w:r>
          </w:p>
        </w:tc>
        <w:tc>
          <w:tcPr>
            <w:tcW w:w="667" w:type="dxa"/>
            <w:tcBorders>
              <w:tl2br w:val="nil"/>
              <w:tr2bl w:val="nil"/>
            </w:tcBorders>
            <w:vAlign w:val="center"/>
          </w:tcPr>
          <w:p w:rsidR="00F14EAC" w:rsidRDefault="00902EAF">
            <w:pPr>
              <w:widowControl/>
              <w:spacing w:line="240" w:lineRule="exact"/>
              <w:jc w:val="center"/>
              <w:textAlignment w:val="center"/>
              <w:rPr>
                <w:rFonts w:ascii="方正仿宋_GBK" w:hAnsi="方正仿宋_GBK" w:cs="方正仿宋_GBK"/>
                <w:kern w:val="0"/>
                <w:sz w:val="21"/>
                <w:szCs w:val="21"/>
                <w:lang w:bidi="ar"/>
              </w:rPr>
            </w:pPr>
            <w:r>
              <w:rPr>
                <w:rFonts w:ascii="方正仿宋_GBK" w:hAnsi="方正仿宋_GBK" w:cs="方正仿宋_GBK" w:hint="eastAsia"/>
                <w:kern w:val="0"/>
                <w:sz w:val="21"/>
                <w:szCs w:val="21"/>
                <w:lang w:bidi="ar"/>
              </w:rPr>
              <w:t>□是</w:t>
            </w:r>
            <w:r>
              <w:rPr>
                <w:rFonts w:ascii="方正仿宋_GBK" w:hAnsi="方正仿宋_GBK" w:cs="方正仿宋_GBK" w:hint="eastAsia"/>
                <w:kern w:val="0"/>
                <w:sz w:val="21"/>
                <w:szCs w:val="21"/>
                <w:lang w:bidi="ar"/>
              </w:rPr>
              <w:t xml:space="preserve"> </w:t>
            </w:r>
            <w:r>
              <w:rPr>
                <w:rFonts w:ascii="方正仿宋_GBK" w:hAnsi="方正仿宋_GBK" w:cs="方正仿宋_GBK" w:hint="eastAsia"/>
                <w:kern w:val="0"/>
                <w:sz w:val="21"/>
                <w:szCs w:val="21"/>
                <w:lang w:bidi="ar"/>
              </w:rPr>
              <w:t>□否</w:t>
            </w:r>
          </w:p>
        </w:tc>
        <w:tc>
          <w:tcPr>
            <w:tcW w:w="911" w:type="dxa"/>
            <w:tcBorders>
              <w:tl2br w:val="nil"/>
              <w:tr2bl w:val="nil"/>
            </w:tcBorders>
            <w:vAlign w:val="center"/>
          </w:tcPr>
          <w:p w:rsidR="00F14EAC" w:rsidRDefault="00F14EAC">
            <w:pPr>
              <w:widowControl/>
              <w:spacing w:line="280" w:lineRule="exact"/>
              <w:textAlignment w:val="center"/>
              <w:rPr>
                <w:rFonts w:ascii="方正仿宋_GBK" w:hAnsi="方正仿宋_GBK" w:cs="方正仿宋_GBK"/>
                <w:kern w:val="0"/>
                <w:sz w:val="21"/>
                <w:szCs w:val="21"/>
                <w:lang w:bidi="ar"/>
              </w:rPr>
            </w:pPr>
          </w:p>
        </w:tc>
        <w:tc>
          <w:tcPr>
            <w:tcW w:w="585"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79"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1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4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8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634"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3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451"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535" w:type="dxa"/>
            <w:tcBorders>
              <w:tl2br w:val="nil"/>
              <w:tr2bl w:val="nil"/>
            </w:tcBorders>
            <w:vAlign w:val="center"/>
          </w:tcPr>
          <w:p w:rsidR="00F14EAC" w:rsidRDefault="00F14EAC">
            <w:pPr>
              <w:widowControl/>
              <w:spacing w:line="280" w:lineRule="exact"/>
              <w:jc w:val="center"/>
              <w:textAlignment w:val="center"/>
              <w:rPr>
                <w:kern w:val="0"/>
                <w:sz w:val="21"/>
                <w:szCs w:val="21"/>
                <w:lang w:bidi="ar"/>
              </w:rPr>
            </w:pPr>
          </w:p>
        </w:tc>
        <w:tc>
          <w:tcPr>
            <w:tcW w:w="800" w:type="dxa"/>
            <w:tcBorders>
              <w:tl2br w:val="nil"/>
              <w:tr2bl w:val="nil"/>
            </w:tcBorders>
            <w:vAlign w:val="center"/>
          </w:tcPr>
          <w:p w:rsidR="00F14EAC" w:rsidRDefault="00902EAF">
            <w:pPr>
              <w:widowControl/>
              <w:spacing w:line="280" w:lineRule="exact"/>
              <w:jc w:val="center"/>
              <w:textAlignment w:val="center"/>
              <w:rPr>
                <w:kern w:val="0"/>
                <w:sz w:val="21"/>
                <w:szCs w:val="21"/>
                <w:lang w:bidi="ar"/>
              </w:rPr>
            </w:pPr>
            <w:r>
              <w:rPr>
                <w:kern w:val="0"/>
                <w:sz w:val="21"/>
                <w:szCs w:val="21"/>
                <w:lang w:bidi="ar"/>
              </w:rPr>
              <w:t>1</w:t>
            </w:r>
          </w:p>
        </w:tc>
        <w:tc>
          <w:tcPr>
            <w:tcW w:w="568" w:type="dxa"/>
            <w:tcBorders>
              <w:tl2br w:val="nil"/>
              <w:tr2bl w:val="nil"/>
            </w:tcBorders>
            <w:vAlign w:val="center"/>
          </w:tcPr>
          <w:p w:rsidR="00F14EAC" w:rsidRDefault="00F14EAC">
            <w:pPr>
              <w:widowControl/>
              <w:spacing w:line="280" w:lineRule="exact"/>
              <w:textAlignment w:val="center"/>
              <w:rPr>
                <w:kern w:val="0"/>
                <w:sz w:val="21"/>
                <w:szCs w:val="21"/>
                <w:lang w:bidi="ar"/>
              </w:rPr>
            </w:pPr>
          </w:p>
        </w:tc>
        <w:tc>
          <w:tcPr>
            <w:tcW w:w="796" w:type="dxa"/>
            <w:tcBorders>
              <w:tl2br w:val="nil"/>
              <w:tr2bl w:val="nil"/>
            </w:tcBorders>
            <w:vAlign w:val="center"/>
          </w:tcPr>
          <w:p w:rsidR="00F14EAC" w:rsidRDefault="00F14EAC">
            <w:pPr>
              <w:widowControl/>
              <w:spacing w:line="280" w:lineRule="exact"/>
              <w:textAlignment w:val="center"/>
              <w:rPr>
                <w:kern w:val="0"/>
                <w:sz w:val="21"/>
                <w:szCs w:val="21"/>
                <w:lang w:bidi="ar"/>
              </w:rPr>
            </w:pPr>
          </w:p>
        </w:tc>
      </w:tr>
      <w:tr w:rsidR="00F14EAC">
        <w:trPr>
          <w:trHeight w:val="285"/>
          <w:jc w:val="center"/>
        </w:trPr>
        <w:tc>
          <w:tcPr>
            <w:tcW w:w="8249" w:type="dxa"/>
            <w:gridSpan w:val="6"/>
            <w:tcBorders>
              <w:tl2br w:val="nil"/>
              <w:tr2bl w:val="nil"/>
            </w:tcBorders>
            <w:vAlign w:val="center"/>
          </w:tcPr>
          <w:p w:rsidR="00F14EAC" w:rsidRDefault="00902EAF">
            <w:pPr>
              <w:widowControl/>
              <w:spacing w:line="280" w:lineRule="exact"/>
              <w:jc w:val="left"/>
              <w:textAlignment w:val="center"/>
              <w:rPr>
                <w:sz w:val="21"/>
                <w:szCs w:val="21"/>
              </w:rPr>
            </w:pPr>
            <w:r>
              <w:rPr>
                <w:kern w:val="0"/>
                <w:sz w:val="21"/>
                <w:szCs w:val="21"/>
                <w:lang w:bidi="ar"/>
              </w:rPr>
              <w:t>其他需要记录的问题：</w:t>
            </w:r>
          </w:p>
        </w:tc>
        <w:tc>
          <w:tcPr>
            <w:tcW w:w="779" w:type="dxa"/>
            <w:tcBorders>
              <w:tl2br w:val="nil"/>
              <w:tr2bl w:val="nil"/>
            </w:tcBorders>
            <w:vAlign w:val="center"/>
          </w:tcPr>
          <w:p w:rsidR="00F14EAC" w:rsidRDefault="00F14EAC">
            <w:pPr>
              <w:spacing w:line="280" w:lineRule="exact"/>
              <w:jc w:val="center"/>
              <w:rPr>
                <w:sz w:val="21"/>
                <w:szCs w:val="21"/>
              </w:rPr>
            </w:pPr>
          </w:p>
        </w:tc>
        <w:tc>
          <w:tcPr>
            <w:tcW w:w="616" w:type="dxa"/>
            <w:tcBorders>
              <w:tl2br w:val="nil"/>
              <w:tr2bl w:val="nil"/>
            </w:tcBorders>
            <w:vAlign w:val="center"/>
          </w:tcPr>
          <w:p w:rsidR="00F14EAC" w:rsidRDefault="00F14EAC">
            <w:pPr>
              <w:spacing w:line="280" w:lineRule="exact"/>
              <w:jc w:val="center"/>
              <w:rPr>
                <w:sz w:val="21"/>
                <w:szCs w:val="21"/>
              </w:rPr>
            </w:pPr>
          </w:p>
        </w:tc>
        <w:tc>
          <w:tcPr>
            <w:tcW w:w="644" w:type="dxa"/>
            <w:tcBorders>
              <w:tl2br w:val="nil"/>
              <w:tr2bl w:val="nil"/>
            </w:tcBorders>
            <w:vAlign w:val="center"/>
          </w:tcPr>
          <w:p w:rsidR="00F14EAC" w:rsidRDefault="00F14EAC">
            <w:pPr>
              <w:spacing w:line="280" w:lineRule="exact"/>
              <w:jc w:val="center"/>
              <w:rPr>
                <w:sz w:val="21"/>
                <w:szCs w:val="21"/>
              </w:rPr>
            </w:pPr>
          </w:p>
        </w:tc>
        <w:tc>
          <w:tcPr>
            <w:tcW w:w="484" w:type="dxa"/>
            <w:tcBorders>
              <w:tl2br w:val="nil"/>
              <w:tr2bl w:val="nil"/>
            </w:tcBorders>
            <w:vAlign w:val="center"/>
          </w:tcPr>
          <w:p w:rsidR="00F14EAC" w:rsidRDefault="00F14EAC">
            <w:pPr>
              <w:spacing w:line="280" w:lineRule="exact"/>
              <w:jc w:val="center"/>
              <w:rPr>
                <w:sz w:val="21"/>
                <w:szCs w:val="21"/>
              </w:rPr>
            </w:pPr>
          </w:p>
        </w:tc>
        <w:tc>
          <w:tcPr>
            <w:tcW w:w="634" w:type="dxa"/>
            <w:tcBorders>
              <w:tl2br w:val="nil"/>
              <w:tr2bl w:val="nil"/>
            </w:tcBorders>
            <w:vAlign w:val="center"/>
          </w:tcPr>
          <w:p w:rsidR="00F14EAC" w:rsidRDefault="00F14EAC">
            <w:pPr>
              <w:spacing w:line="280" w:lineRule="exact"/>
              <w:jc w:val="center"/>
              <w:rPr>
                <w:sz w:val="21"/>
                <w:szCs w:val="21"/>
              </w:rPr>
            </w:pPr>
          </w:p>
        </w:tc>
        <w:tc>
          <w:tcPr>
            <w:tcW w:w="436" w:type="dxa"/>
            <w:tcBorders>
              <w:tl2br w:val="nil"/>
              <w:tr2bl w:val="nil"/>
            </w:tcBorders>
            <w:vAlign w:val="center"/>
          </w:tcPr>
          <w:p w:rsidR="00F14EAC" w:rsidRDefault="00F14EAC">
            <w:pPr>
              <w:spacing w:line="280" w:lineRule="exact"/>
              <w:jc w:val="center"/>
              <w:rPr>
                <w:sz w:val="21"/>
                <w:szCs w:val="21"/>
              </w:rPr>
            </w:pPr>
          </w:p>
        </w:tc>
        <w:tc>
          <w:tcPr>
            <w:tcW w:w="451" w:type="dxa"/>
            <w:tcBorders>
              <w:tl2br w:val="nil"/>
              <w:tr2bl w:val="nil"/>
            </w:tcBorders>
            <w:vAlign w:val="center"/>
          </w:tcPr>
          <w:p w:rsidR="00F14EAC" w:rsidRDefault="00F14EAC">
            <w:pPr>
              <w:spacing w:line="280" w:lineRule="exact"/>
              <w:jc w:val="center"/>
              <w:rPr>
                <w:sz w:val="21"/>
                <w:szCs w:val="21"/>
              </w:rPr>
            </w:pPr>
          </w:p>
        </w:tc>
        <w:tc>
          <w:tcPr>
            <w:tcW w:w="535" w:type="dxa"/>
            <w:tcBorders>
              <w:tl2br w:val="nil"/>
              <w:tr2bl w:val="nil"/>
            </w:tcBorders>
            <w:vAlign w:val="center"/>
          </w:tcPr>
          <w:p w:rsidR="00F14EAC" w:rsidRDefault="00F14EAC">
            <w:pPr>
              <w:spacing w:line="280" w:lineRule="exact"/>
              <w:jc w:val="center"/>
              <w:rPr>
                <w:sz w:val="21"/>
                <w:szCs w:val="21"/>
              </w:rPr>
            </w:pPr>
          </w:p>
        </w:tc>
        <w:tc>
          <w:tcPr>
            <w:tcW w:w="800" w:type="dxa"/>
            <w:tcBorders>
              <w:tl2br w:val="nil"/>
              <w:tr2bl w:val="nil"/>
            </w:tcBorders>
            <w:vAlign w:val="center"/>
          </w:tcPr>
          <w:p w:rsidR="00F14EAC" w:rsidRDefault="00F14EAC">
            <w:pPr>
              <w:spacing w:line="280" w:lineRule="exact"/>
              <w:jc w:val="center"/>
              <w:rPr>
                <w:sz w:val="21"/>
                <w:szCs w:val="21"/>
              </w:rPr>
            </w:pPr>
          </w:p>
        </w:tc>
        <w:tc>
          <w:tcPr>
            <w:tcW w:w="568" w:type="dxa"/>
            <w:tcBorders>
              <w:tl2br w:val="nil"/>
              <w:tr2bl w:val="nil"/>
            </w:tcBorders>
            <w:vAlign w:val="center"/>
          </w:tcPr>
          <w:p w:rsidR="00F14EAC" w:rsidRDefault="00F14EAC">
            <w:pPr>
              <w:spacing w:line="280" w:lineRule="exact"/>
              <w:jc w:val="center"/>
              <w:rPr>
                <w:sz w:val="21"/>
                <w:szCs w:val="21"/>
              </w:rPr>
            </w:pPr>
          </w:p>
        </w:tc>
        <w:tc>
          <w:tcPr>
            <w:tcW w:w="796" w:type="dxa"/>
            <w:tcBorders>
              <w:tl2br w:val="nil"/>
              <w:tr2bl w:val="nil"/>
            </w:tcBorders>
            <w:vAlign w:val="center"/>
          </w:tcPr>
          <w:p w:rsidR="00F14EAC" w:rsidRDefault="00F14EAC">
            <w:pPr>
              <w:spacing w:line="280" w:lineRule="exact"/>
              <w:jc w:val="center"/>
              <w:rPr>
                <w:sz w:val="21"/>
                <w:szCs w:val="21"/>
              </w:rPr>
            </w:pPr>
          </w:p>
        </w:tc>
      </w:tr>
    </w:tbl>
    <w:p w:rsidR="00F14EAC" w:rsidRDefault="00F14EAC">
      <w:pPr>
        <w:adjustRightInd w:val="0"/>
        <w:snapToGrid w:val="0"/>
        <w:rPr>
          <w:sz w:val="21"/>
          <w:szCs w:val="21"/>
        </w:rPr>
      </w:pPr>
    </w:p>
    <w:p w:rsidR="00F14EAC" w:rsidRDefault="00F14EAC">
      <w:pPr>
        <w:adjustRightInd w:val="0"/>
        <w:snapToGrid w:val="0"/>
        <w:rPr>
          <w:sz w:val="21"/>
          <w:szCs w:val="21"/>
        </w:rPr>
      </w:pPr>
    </w:p>
    <w:p w:rsidR="00F14EAC" w:rsidRDefault="00F14EAC">
      <w:pPr>
        <w:adjustRightInd w:val="0"/>
        <w:snapToGrid w:val="0"/>
        <w:rPr>
          <w:sz w:val="21"/>
          <w:szCs w:val="21"/>
        </w:rPr>
      </w:pPr>
    </w:p>
    <w:p w:rsidR="00F14EAC" w:rsidRDefault="00902EAF">
      <w:pPr>
        <w:adjustRightInd w:val="0"/>
        <w:snapToGrid w:val="0"/>
        <w:rPr>
          <w:sz w:val="21"/>
          <w:szCs w:val="21"/>
        </w:rPr>
      </w:pPr>
      <w:r>
        <w:rPr>
          <w:rFonts w:hint="eastAsia"/>
          <w:sz w:val="21"/>
          <w:szCs w:val="21"/>
        </w:rPr>
        <w:t>说明：</w:t>
      </w:r>
      <w:r>
        <w:rPr>
          <w:rFonts w:hint="eastAsia"/>
          <w:sz w:val="21"/>
          <w:szCs w:val="21"/>
        </w:rPr>
        <w:t>1</w:t>
      </w:r>
      <w:r>
        <w:rPr>
          <w:rFonts w:hint="eastAsia"/>
          <w:sz w:val="21"/>
          <w:szCs w:val="21"/>
        </w:rPr>
        <w:t>．</w:t>
      </w:r>
      <w:r>
        <w:rPr>
          <w:rFonts w:hint="eastAsia"/>
          <w:sz w:val="21"/>
          <w:szCs w:val="21"/>
        </w:rPr>
        <w:t>动态风险分值以每一项未达到要求予以扣分作为得分，或按一定比例扣分作为得分。缺项不得分。</w:t>
      </w:r>
    </w:p>
    <w:p w:rsidR="00F14EAC" w:rsidRDefault="00902EAF">
      <w:pPr>
        <w:adjustRightInd w:val="0"/>
        <w:snapToGrid w:val="0"/>
        <w:ind w:firstLineChars="300" w:firstLine="618"/>
        <w:rPr>
          <w:sz w:val="21"/>
          <w:szCs w:val="21"/>
        </w:rPr>
      </w:pPr>
      <w:r>
        <w:rPr>
          <w:rFonts w:hint="eastAsia"/>
          <w:sz w:val="21"/>
          <w:szCs w:val="21"/>
        </w:rPr>
        <w:t>2</w:t>
      </w:r>
      <w:r>
        <w:rPr>
          <w:rFonts w:hint="eastAsia"/>
          <w:sz w:val="21"/>
          <w:szCs w:val="21"/>
        </w:rPr>
        <w:t>．</w:t>
      </w:r>
      <w:r>
        <w:rPr>
          <w:rFonts w:hint="eastAsia"/>
          <w:sz w:val="21"/>
          <w:szCs w:val="21"/>
        </w:rPr>
        <w:t>明厨亮灶仅作为工作统计使用。制止餐饮浪费不涉及食品安全，不纳入风险分级计分。</w:t>
      </w:r>
    </w:p>
    <w:p w:rsidR="00F14EAC" w:rsidRDefault="00902EAF">
      <w:pPr>
        <w:adjustRightInd w:val="0"/>
        <w:snapToGrid w:val="0"/>
        <w:ind w:firstLineChars="300" w:firstLine="618"/>
        <w:rPr>
          <w:sz w:val="21"/>
          <w:szCs w:val="21"/>
        </w:rPr>
        <w:sectPr w:rsidR="00F14EAC">
          <w:headerReference w:type="default" r:id="rId14"/>
          <w:footerReference w:type="default" r:id="rId15"/>
          <w:pgSz w:w="16838" w:h="11906" w:orient="landscape"/>
          <w:pgMar w:top="1531" w:right="2098" w:bottom="1531" w:left="1984" w:header="851" w:footer="964" w:gutter="0"/>
          <w:cols w:space="0"/>
          <w:docGrid w:type="linesAndChars" w:linePitch="589" w:charSpace="-849"/>
        </w:sectPr>
      </w:pPr>
      <w:r>
        <w:rPr>
          <w:rFonts w:hint="eastAsia"/>
          <w:sz w:val="21"/>
          <w:szCs w:val="21"/>
        </w:rPr>
        <w:t>3</w:t>
      </w:r>
      <w:r>
        <w:rPr>
          <w:rFonts w:hint="eastAsia"/>
          <w:sz w:val="21"/>
          <w:szCs w:val="21"/>
        </w:rPr>
        <w:t>．</w:t>
      </w:r>
      <w:r>
        <w:rPr>
          <w:rFonts w:hint="eastAsia"/>
          <w:sz w:val="21"/>
          <w:szCs w:val="21"/>
        </w:rPr>
        <w:t>各业态推荐检查项目中标示为“</w:t>
      </w:r>
      <w:r>
        <w:rPr>
          <w:rFonts w:hint="eastAsia"/>
          <w:sz w:val="21"/>
          <w:szCs w:val="21"/>
        </w:rPr>
        <w:t>1</w:t>
      </w:r>
      <w:r>
        <w:rPr>
          <w:rFonts w:hint="eastAsia"/>
          <w:sz w:val="21"/>
          <w:szCs w:val="21"/>
        </w:rPr>
        <w:t>”的，是应检查项目。</w:t>
      </w:r>
    </w:p>
    <w:p w:rsidR="00F14EAC" w:rsidRDefault="00902EAF">
      <w:pPr>
        <w:rPr>
          <w:rFonts w:eastAsia="方正黑体_GBK"/>
          <w:szCs w:val="32"/>
        </w:rPr>
      </w:pPr>
      <w:r>
        <w:rPr>
          <w:rFonts w:eastAsia="方正黑体_GBK"/>
          <w:szCs w:val="32"/>
        </w:rPr>
        <w:t>附件</w:t>
      </w:r>
      <w:r>
        <w:rPr>
          <w:rFonts w:eastAsia="方正黑体_GBK"/>
          <w:szCs w:val="32"/>
        </w:rPr>
        <w:t xml:space="preserve">2 </w:t>
      </w:r>
    </w:p>
    <w:p w:rsidR="00F14EAC" w:rsidRDefault="00F14EAC">
      <w:pPr>
        <w:pStyle w:val="a3"/>
        <w:spacing w:after="0"/>
      </w:pPr>
    </w:p>
    <w:p w:rsidR="00F14EAC" w:rsidRDefault="00902EAF">
      <w:pPr>
        <w:adjustRightInd w:val="0"/>
        <w:snapToGrid w:val="0"/>
        <w:spacing w:line="72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重庆市餐饮服务食品安全监督检查结果记录表</w:t>
      </w:r>
    </w:p>
    <w:p w:rsidR="00F14EAC" w:rsidRDefault="00902EAF">
      <w:pPr>
        <w:adjustRightInd w:val="0"/>
        <w:snapToGrid w:val="0"/>
        <w:jc w:val="center"/>
        <w:rPr>
          <w:rFonts w:ascii="宋体" w:hAnsi="宋体"/>
          <w:sz w:val="21"/>
          <w:szCs w:val="21"/>
        </w:rPr>
      </w:pPr>
      <w:r>
        <w:rPr>
          <w:rFonts w:ascii="宋体" w:hAnsi="宋体" w:hint="eastAsia"/>
          <w:sz w:val="21"/>
          <w:szCs w:val="21"/>
        </w:rPr>
        <w:t xml:space="preserve">                                          </w:t>
      </w:r>
      <w:r>
        <w:rPr>
          <w:rFonts w:ascii="宋体" w:hAnsi="宋体" w:hint="eastAsia"/>
          <w:sz w:val="21"/>
          <w:szCs w:val="21"/>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871"/>
        <w:gridCol w:w="166"/>
        <w:gridCol w:w="1189"/>
        <w:gridCol w:w="3605"/>
      </w:tblGrid>
      <w:tr w:rsidR="00F14EAC">
        <w:trPr>
          <w:cantSplit/>
          <w:trHeight w:val="520"/>
          <w:jc w:val="center"/>
        </w:trPr>
        <w:tc>
          <w:tcPr>
            <w:tcW w:w="1808" w:type="dxa"/>
            <w:vAlign w:val="center"/>
          </w:tcPr>
          <w:p w:rsidR="00F14EAC" w:rsidRDefault="00902EAF">
            <w:pPr>
              <w:adjustRightInd w:val="0"/>
              <w:spacing w:line="240" w:lineRule="exact"/>
              <w:jc w:val="center"/>
              <w:rPr>
                <w:rFonts w:ascii="宋体" w:hAnsi="宋体"/>
                <w:sz w:val="21"/>
                <w:szCs w:val="21"/>
              </w:rPr>
            </w:pPr>
            <w:r>
              <w:rPr>
                <w:rFonts w:ascii="宋体" w:hAnsi="宋体" w:hint="eastAsia"/>
                <w:sz w:val="21"/>
                <w:szCs w:val="21"/>
              </w:rPr>
              <w:t>被检查单位名称</w:t>
            </w:r>
          </w:p>
        </w:tc>
        <w:tc>
          <w:tcPr>
            <w:tcW w:w="3037" w:type="dxa"/>
            <w:gridSpan w:val="2"/>
            <w:vAlign w:val="center"/>
          </w:tcPr>
          <w:p w:rsidR="00F14EAC" w:rsidRDefault="00F14EAC">
            <w:pPr>
              <w:adjustRightInd w:val="0"/>
              <w:spacing w:line="240" w:lineRule="exact"/>
              <w:jc w:val="center"/>
              <w:rPr>
                <w:rFonts w:ascii="宋体" w:hAnsi="宋体"/>
                <w:sz w:val="21"/>
                <w:szCs w:val="21"/>
              </w:rPr>
            </w:pPr>
          </w:p>
        </w:tc>
        <w:tc>
          <w:tcPr>
            <w:tcW w:w="1189" w:type="dxa"/>
            <w:vAlign w:val="center"/>
          </w:tcPr>
          <w:p w:rsidR="00F14EAC" w:rsidRDefault="00902EAF">
            <w:pPr>
              <w:adjustRightInd w:val="0"/>
              <w:spacing w:line="240" w:lineRule="exact"/>
              <w:jc w:val="center"/>
              <w:rPr>
                <w:rFonts w:ascii="宋体" w:hAnsi="宋体"/>
                <w:sz w:val="21"/>
                <w:szCs w:val="21"/>
              </w:rPr>
            </w:pPr>
            <w:r>
              <w:rPr>
                <w:rFonts w:ascii="宋体" w:hAnsi="宋体" w:hint="eastAsia"/>
                <w:sz w:val="21"/>
                <w:szCs w:val="21"/>
              </w:rPr>
              <w:t>经营地址</w:t>
            </w:r>
          </w:p>
        </w:tc>
        <w:tc>
          <w:tcPr>
            <w:tcW w:w="3605" w:type="dxa"/>
            <w:vAlign w:val="center"/>
          </w:tcPr>
          <w:p w:rsidR="00F14EAC" w:rsidRDefault="00F14EAC">
            <w:pPr>
              <w:adjustRightInd w:val="0"/>
              <w:spacing w:line="240" w:lineRule="exact"/>
              <w:jc w:val="center"/>
              <w:rPr>
                <w:rFonts w:ascii="宋体" w:hAnsi="宋体"/>
                <w:sz w:val="21"/>
                <w:szCs w:val="21"/>
              </w:rPr>
            </w:pPr>
          </w:p>
        </w:tc>
      </w:tr>
      <w:tr w:rsidR="00F14EAC">
        <w:trPr>
          <w:cantSplit/>
          <w:trHeight w:val="520"/>
          <w:jc w:val="center"/>
        </w:trPr>
        <w:tc>
          <w:tcPr>
            <w:tcW w:w="1808" w:type="dxa"/>
            <w:vAlign w:val="center"/>
          </w:tcPr>
          <w:p w:rsidR="00F14EAC" w:rsidRDefault="00902EAF">
            <w:pPr>
              <w:adjustRightInd w:val="0"/>
              <w:spacing w:line="240" w:lineRule="exact"/>
              <w:jc w:val="center"/>
              <w:rPr>
                <w:rFonts w:ascii="宋体" w:hAnsi="宋体"/>
                <w:sz w:val="21"/>
                <w:szCs w:val="21"/>
              </w:rPr>
            </w:pPr>
            <w:r>
              <w:rPr>
                <w:rFonts w:ascii="宋体" w:hAnsi="宋体" w:hint="eastAsia"/>
                <w:sz w:val="21"/>
                <w:szCs w:val="21"/>
              </w:rPr>
              <w:t>联系人</w:t>
            </w:r>
          </w:p>
        </w:tc>
        <w:tc>
          <w:tcPr>
            <w:tcW w:w="3037" w:type="dxa"/>
            <w:gridSpan w:val="2"/>
            <w:vAlign w:val="center"/>
          </w:tcPr>
          <w:p w:rsidR="00F14EAC" w:rsidRDefault="00F14EAC">
            <w:pPr>
              <w:adjustRightInd w:val="0"/>
              <w:spacing w:line="240" w:lineRule="exact"/>
              <w:jc w:val="center"/>
              <w:rPr>
                <w:rFonts w:ascii="宋体" w:hAnsi="宋体"/>
                <w:sz w:val="21"/>
                <w:szCs w:val="21"/>
              </w:rPr>
            </w:pPr>
          </w:p>
        </w:tc>
        <w:tc>
          <w:tcPr>
            <w:tcW w:w="1189" w:type="dxa"/>
            <w:vAlign w:val="center"/>
          </w:tcPr>
          <w:p w:rsidR="00F14EAC" w:rsidRDefault="00902EAF">
            <w:pPr>
              <w:adjustRightInd w:val="0"/>
              <w:spacing w:line="240" w:lineRule="exact"/>
              <w:jc w:val="center"/>
              <w:rPr>
                <w:rFonts w:ascii="宋体" w:hAnsi="宋体"/>
                <w:sz w:val="21"/>
                <w:szCs w:val="21"/>
              </w:rPr>
            </w:pPr>
            <w:r>
              <w:rPr>
                <w:rFonts w:ascii="宋体" w:hAnsi="宋体" w:hint="eastAsia"/>
                <w:sz w:val="21"/>
                <w:szCs w:val="21"/>
              </w:rPr>
              <w:t>联系方式</w:t>
            </w:r>
          </w:p>
        </w:tc>
        <w:tc>
          <w:tcPr>
            <w:tcW w:w="3605" w:type="dxa"/>
            <w:vAlign w:val="center"/>
          </w:tcPr>
          <w:p w:rsidR="00F14EAC" w:rsidRDefault="00F14EAC">
            <w:pPr>
              <w:adjustRightInd w:val="0"/>
              <w:spacing w:line="240" w:lineRule="exact"/>
              <w:jc w:val="center"/>
              <w:rPr>
                <w:rFonts w:ascii="宋体" w:hAnsi="宋体"/>
                <w:sz w:val="21"/>
                <w:szCs w:val="21"/>
              </w:rPr>
            </w:pPr>
          </w:p>
        </w:tc>
      </w:tr>
      <w:tr w:rsidR="00F14EAC">
        <w:trPr>
          <w:cantSplit/>
          <w:trHeight w:val="510"/>
          <w:jc w:val="center"/>
        </w:trPr>
        <w:tc>
          <w:tcPr>
            <w:tcW w:w="1808" w:type="dxa"/>
            <w:vAlign w:val="center"/>
          </w:tcPr>
          <w:p w:rsidR="00F14EAC" w:rsidRDefault="00902EAF">
            <w:pPr>
              <w:adjustRightInd w:val="0"/>
              <w:spacing w:line="240" w:lineRule="exact"/>
              <w:jc w:val="center"/>
              <w:rPr>
                <w:rFonts w:ascii="宋体" w:hAnsi="宋体"/>
                <w:sz w:val="21"/>
                <w:szCs w:val="21"/>
              </w:rPr>
            </w:pPr>
            <w:r>
              <w:rPr>
                <w:rFonts w:ascii="宋体" w:hAnsi="宋体" w:hint="eastAsia"/>
                <w:sz w:val="21"/>
                <w:szCs w:val="21"/>
              </w:rPr>
              <w:t>许可证编号或</w:t>
            </w:r>
          </w:p>
          <w:p w:rsidR="00F14EAC" w:rsidRDefault="00902EAF">
            <w:pPr>
              <w:adjustRightInd w:val="0"/>
              <w:spacing w:line="240" w:lineRule="exact"/>
              <w:jc w:val="center"/>
              <w:rPr>
                <w:rFonts w:ascii="宋体" w:eastAsia="宋体" w:hAnsi="宋体"/>
                <w:sz w:val="21"/>
                <w:szCs w:val="21"/>
              </w:rPr>
            </w:pPr>
            <w:r>
              <w:rPr>
                <w:rFonts w:ascii="宋体" w:hAnsi="宋体" w:hint="eastAsia"/>
                <w:sz w:val="21"/>
                <w:szCs w:val="21"/>
              </w:rPr>
              <w:t>备案编号</w:t>
            </w:r>
          </w:p>
        </w:tc>
        <w:tc>
          <w:tcPr>
            <w:tcW w:w="3037" w:type="dxa"/>
            <w:gridSpan w:val="2"/>
            <w:vAlign w:val="center"/>
          </w:tcPr>
          <w:p w:rsidR="00F14EAC" w:rsidRDefault="00F14EAC">
            <w:pPr>
              <w:adjustRightInd w:val="0"/>
              <w:spacing w:line="240" w:lineRule="exact"/>
              <w:jc w:val="center"/>
              <w:rPr>
                <w:rFonts w:ascii="宋体" w:hAnsi="宋体"/>
                <w:sz w:val="21"/>
                <w:szCs w:val="21"/>
              </w:rPr>
            </w:pPr>
          </w:p>
        </w:tc>
        <w:tc>
          <w:tcPr>
            <w:tcW w:w="1189" w:type="dxa"/>
            <w:vAlign w:val="center"/>
          </w:tcPr>
          <w:p w:rsidR="00F14EAC" w:rsidRDefault="00902EAF">
            <w:pPr>
              <w:adjustRightInd w:val="0"/>
              <w:spacing w:line="240" w:lineRule="exact"/>
              <w:jc w:val="center"/>
              <w:rPr>
                <w:rFonts w:ascii="宋体" w:hAnsi="宋体"/>
                <w:sz w:val="21"/>
                <w:szCs w:val="21"/>
              </w:rPr>
            </w:pPr>
            <w:r>
              <w:rPr>
                <w:rFonts w:ascii="宋体" w:hAnsi="宋体" w:hint="eastAsia"/>
                <w:sz w:val="21"/>
                <w:szCs w:val="21"/>
              </w:rPr>
              <w:t>检查次数</w:t>
            </w:r>
          </w:p>
        </w:tc>
        <w:tc>
          <w:tcPr>
            <w:tcW w:w="3605" w:type="dxa"/>
            <w:vAlign w:val="center"/>
          </w:tcPr>
          <w:p w:rsidR="00F14EAC" w:rsidRDefault="00902EAF">
            <w:pPr>
              <w:adjustRightInd w:val="0"/>
              <w:spacing w:line="240" w:lineRule="exact"/>
              <w:jc w:val="center"/>
              <w:rPr>
                <w:rFonts w:ascii="宋体" w:hAnsi="宋体"/>
                <w:sz w:val="21"/>
                <w:szCs w:val="21"/>
              </w:rPr>
            </w:pPr>
            <w:r>
              <w:rPr>
                <w:rFonts w:ascii="宋体" w:hAnsi="宋体" w:hint="eastAsia"/>
                <w:sz w:val="21"/>
                <w:szCs w:val="21"/>
              </w:rPr>
              <w:t>本年度第</w:t>
            </w:r>
            <w:r>
              <w:rPr>
                <w:rFonts w:ascii="宋体" w:hAnsi="宋体" w:hint="eastAsia"/>
                <w:sz w:val="21"/>
                <w:szCs w:val="21"/>
              </w:rPr>
              <w:t xml:space="preserve">   </w:t>
            </w:r>
            <w:r>
              <w:rPr>
                <w:rFonts w:ascii="宋体" w:hAnsi="宋体" w:hint="eastAsia"/>
                <w:sz w:val="21"/>
                <w:szCs w:val="21"/>
              </w:rPr>
              <w:t>次检查</w:t>
            </w:r>
          </w:p>
        </w:tc>
      </w:tr>
      <w:tr w:rsidR="00F14EAC">
        <w:trPr>
          <w:cantSplit/>
          <w:trHeight w:val="2295"/>
          <w:jc w:val="center"/>
        </w:trPr>
        <w:tc>
          <w:tcPr>
            <w:tcW w:w="9639" w:type="dxa"/>
            <w:gridSpan w:val="5"/>
          </w:tcPr>
          <w:p w:rsidR="00F14EAC" w:rsidRDefault="00902EAF">
            <w:pPr>
              <w:spacing w:line="320" w:lineRule="exact"/>
              <w:jc w:val="left"/>
              <w:rPr>
                <w:rFonts w:ascii="宋体" w:hAnsi="宋体"/>
                <w:b/>
                <w:sz w:val="21"/>
                <w:szCs w:val="21"/>
              </w:rPr>
            </w:pPr>
            <w:r>
              <w:rPr>
                <w:rFonts w:ascii="宋体" w:hAnsi="宋体" w:hint="eastAsia"/>
                <w:b/>
                <w:sz w:val="21"/>
                <w:szCs w:val="21"/>
              </w:rPr>
              <w:t>检查内容：</w:t>
            </w:r>
          </w:p>
          <w:p w:rsidR="00F14EAC" w:rsidRDefault="00902EAF">
            <w:pPr>
              <w:spacing w:line="320" w:lineRule="exact"/>
              <w:ind w:firstLineChars="200" w:firstLine="412"/>
              <w:rPr>
                <w:rFonts w:ascii="宋体" w:hAnsi="宋体"/>
                <w:sz w:val="21"/>
                <w:szCs w:val="21"/>
              </w:rPr>
            </w:pPr>
            <w:r>
              <w:rPr>
                <w:rFonts w:ascii="方正仿宋_GBK" w:hAnsi="方正仿宋_GBK" w:cs="方正仿宋_GBK" w:hint="eastAsia"/>
                <w:sz w:val="21"/>
                <w:szCs w:val="21"/>
                <w:u w:val="single"/>
              </w:rPr>
              <w:t>（市场监督管理部门全称）</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检查人员</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根据《中华人民共和国食品安全法》及其实施条例、《反食品浪费法》《未成年人保护法》，以及《食品生产经营监督检查管理办法》等规定，于</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年</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月</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日至</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年</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月</w:t>
            </w:r>
            <w:r>
              <w:rPr>
                <w:rFonts w:ascii="方正仿宋_GBK" w:hAnsi="方正仿宋_GBK" w:cs="方正仿宋_GBK" w:hint="eastAsia"/>
                <w:sz w:val="21"/>
                <w:szCs w:val="21"/>
                <w:u w:val="single"/>
              </w:rPr>
              <w:t xml:space="preserve">  </w:t>
            </w:r>
            <w:r>
              <w:rPr>
                <w:rFonts w:ascii="方正仿宋_GBK" w:hAnsi="方正仿宋_GBK" w:cs="方正仿宋_GBK" w:hint="eastAsia"/>
                <w:sz w:val="21"/>
                <w:szCs w:val="21"/>
              </w:rPr>
              <w:t>日，对你单位进行了</w:t>
            </w:r>
            <w:r>
              <w:rPr>
                <w:rFonts w:ascii="宋体" w:hAnsi="宋体" w:hint="eastAsia"/>
                <w:sz w:val="21"/>
                <w:szCs w:val="21"/>
              </w:rPr>
              <w:t>□</w:t>
            </w:r>
            <w:r>
              <w:rPr>
                <w:rFonts w:ascii="方正仿宋_GBK" w:hAnsi="方正仿宋_GBK" w:cs="方正仿宋_GBK" w:hint="eastAsia"/>
                <w:sz w:val="21"/>
                <w:szCs w:val="21"/>
              </w:rPr>
              <w:t>日常监督检查</w:t>
            </w:r>
            <w:r>
              <w:rPr>
                <w:rFonts w:ascii="方正仿宋_GBK" w:hAnsi="方正仿宋_GBK" w:cs="方正仿宋_GBK" w:hint="eastAsia"/>
                <w:sz w:val="21"/>
                <w:szCs w:val="21"/>
              </w:rPr>
              <w:t xml:space="preserve"> </w:t>
            </w:r>
            <w:r>
              <w:rPr>
                <w:rFonts w:ascii="宋体" w:hAnsi="宋体" w:hint="eastAsia"/>
                <w:sz w:val="21"/>
                <w:szCs w:val="21"/>
              </w:rPr>
              <w:t>□</w:t>
            </w:r>
            <w:r>
              <w:rPr>
                <w:rFonts w:ascii="方正仿宋_GBK" w:hAnsi="方正仿宋_GBK" w:cs="方正仿宋_GBK" w:hint="eastAsia"/>
                <w:sz w:val="21"/>
                <w:szCs w:val="21"/>
              </w:rPr>
              <w:t>飞行检查</w:t>
            </w:r>
            <w:r>
              <w:rPr>
                <w:rFonts w:ascii="方正仿宋_GBK" w:hAnsi="方正仿宋_GBK" w:cs="方正仿宋_GBK" w:hint="eastAsia"/>
                <w:sz w:val="21"/>
                <w:szCs w:val="21"/>
              </w:rPr>
              <w:t xml:space="preserve"> </w:t>
            </w:r>
            <w:r>
              <w:rPr>
                <w:rFonts w:ascii="宋体" w:hAnsi="宋体" w:hint="eastAsia"/>
                <w:sz w:val="21"/>
                <w:szCs w:val="21"/>
              </w:rPr>
              <w:t>□</w:t>
            </w:r>
            <w:r>
              <w:rPr>
                <w:rFonts w:ascii="方正仿宋_GBK" w:hAnsi="方正仿宋_GBK" w:cs="方正仿宋_GBK" w:hint="eastAsia"/>
                <w:sz w:val="21"/>
                <w:szCs w:val="21"/>
              </w:rPr>
              <w:t>双随机检查</w:t>
            </w:r>
            <w:r>
              <w:rPr>
                <w:rFonts w:ascii="方正仿宋_GBK" w:hAnsi="方正仿宋_GBK" w:cs="方正仿宋_GBK" w:hint="eastAsia"/>
                <w:sz w:val="21"/>
                <w:szCs w:val="21"/>
              </w:rPr>
              <w:t xml:space="preserve"> </w:t>
            </w:r>
            <w:r>
              <w:rPr>
                <w:rFonts w:ascii="宋体" w:hAnsi="宋体" w:hint="eastAsia"/>
                <w:sz w:val="21"/>
                <w:szCs w:val="21"/>
              </w:rPr>
              <w:t>□</w:t>
            </w:r>
            <w:r>
              <w:rPr>
                <w:rFonts w:ascii="方正仿宋_GBK" w:hAnsi="方正仿宋_GBK" w:cs="方正仿宋_GBK" w:hint="eastAsia"/>
                <w:sz w:val="21"/>
                <w:szCs w:val="21"/>
              </w:rPr>
              <w:t>体系检查。本次监督检查依据《重庆市餐饮服务食品安全监督检查要点表》共检查了（</w:t>
            </w:r>
            <w:r>
              <w:rPr>
                <w:rFonts w:ascii="方正仿宋_GBK" w:hAnsi="方正仿宋_GBK" w:cs="方正仿宋_GBK" w:hint="eastAsia"/>
                <w:sz w:val="21"/>
                <w:szCs w:val="21"/>
              </w:rPr>
              <w:t xml:space="preserve">    </w:t>
            </w:r>
            <w:r>
              <w:rPr>
                <w:rFonts w:ascii="方正仿宋_GBK" w:hAnsi="方正仿宋_GBK" w:cs="方正仿宋_GBK" w:hint="eastAsia"/>
                <w:sz w:val="21"/>
                <w:szCs w:val="21"/>
              </w:rPr>
              <w:t>）项内容，其中重点项（</w:t>
            </w:r>
            <w:r>
              <w:rPr>
                <w:rFonts w:ascii="方正仿宋_GBK" w:hAnsi="方正仿宋_GBK" w:cs="方正仿宋_GBK" w:hint="eastAsia"/>
                <w:sz w:val="21"/>
                <w:szCs w:val="21"/>
              </w:rPr>
              <w:t xml:space="preserve">  </w:t>
            </w:r>
            <w:r>
              <w:rPr>
                <w:rFonts w:ascii="方正仿宋_GBK" w:hAnsi="方正仿宋_GBK" w:cs="方正仿宋_GBK" w:hint="eastAsia"/>
                <w:sz w:val="21"/>
                <w:szCs w:val="21"/>
              </w:rPr>
              <w:t>）项，一般项（</w:t>
            </w:r>
            <w:r>
              <w:rPr>
                <w:rFonts w:ascii="方正仿宋_GBK" w:hAnsi="方正仿宋_GBK" w:cs="方正仿宋_GBK" w:hint="eastAsia"/>
                <w:sz w:val="21"/>
                <w:szCs w:val="21"/>
              </w:rPr>
              <w:t xml:space="preserve">  </w:t>
            </w:r>
            <w:r>
              <w:rPr>
                <w:rFonts w:ascii="方正仿宋_GBK" w:hAnsi="方正仿宋_GBK" w:cs="方正仿宋_GBK" w:hint="eastAsia"/>
                <w:sz w:val="21"/>
                <w:szCs w:val="21"/>
              </w:rPr>
              <w:t>）项。</w:t>
            </w:r>
          </w:p>
        </w:tc>
      </w:tr>
      <w:tr w:rsidR="00F14EAC">
        <w:trPr>
          <w:cantSplit/>
          <w:trHeight w:val="3853"/>
          <w:jc w:val="center"/>
        </w:trPr>
        <w:tc>
          <w:tcPr>
            <w:tcW w:w="9639" w:type="dxa"/>
            <w:gridSpan w:val="5"/>
          </w:tcPr>
          <w:p w:rsidR="00F14EAC" w:rsidRDefault="00902EAF">
            <w:pPr>
              <w:spacing w:line="240" w:lineRule="exact"/>
              <w:jc w:val="left"/>
              <w:rPr>
                <w:rFonts w:ascii="宋体" w:hAnsi="宋体"/>
                <w:sz w:val="21"/>
                <w:szCs w:val="21"/>
              </w:rPr>
            </w:pPr>
            <w:r>
              <w:rPr>
                <w:rFonts w:ascii="宋体" w:hAnsi="宋体" w:hint="eastAsia"/>
                <w:b/>
                <w:sz w:val="21"/>
                <w:szCs w:val="21"/>
              </w:rPr>
              <w:t>检查结果：</w:t>
            </w:r>
            <w:r>
              <w:rPr>
                <w:rFonts w:ascii="宋体" w:hAnsi="宋体" w:hint="eastAsia"/>
                <w:sz w:val="21"/>
                <w:szCs w:val="21"/>
              </w:rPr>
              <w:t>本次检查发现不符合项（</w:t>
            </w:r>
            <w:r>
              <w:rPr>
                <w:rFonts w:ascii="宋体" w:hAnsi="宋体" w:hint="eastAsia"/>
                <w:sz w:val="21"/>
                <w:szCs w:val="21"/>
              </w:rPr>
              <w:t xml:space="preserve">  </w:t>
            </w:r>
            <w:r>
              <w:rPr>
                <w:rFonts w:ascii="宋体" w:hAnsi="宋体" w:hint="eastAsia"/>
                <w:sz w:val="21"/>
                <w:szCs w:val="21"/>
              </w:rPr>
              <w:t>）项，其中：</w:t>
            </w:r>
          </w:p>
          <w:p w:rsidR="00F14EAC" w:rsidRDefault="00902EAF">
            <w:pPr>
              <w:spacing w:line="240" w:lineRule="exact"/>
              <w:ind w:firstLineChars="200" w:firstLine="412"/>
              <w:jc w:val="left"/>
              <w:rPr>
                <w:rFonts w:ascii="宋体" w:hAnsi="宋体"/>
                <w:sz w:val="21"/>
                <w:szCs w:val="21"/>
              </w:rPr>
            </w:pPr>
            <w:r>
              <w:rPr>
                <w:rFonts w:ascii="宋体" w:hAnsi="宋体" w:hint="eastAsia"/>
                <w:sz w:val="21"/>
                <w:szCs w:val="21"/>
              </w:rPr>
              <w:t>重点项（</w:t>
            </w:r>
            <w:r>
              <w:rPr>
                <w:rFonts w:ascii="宋体" w:hAnsi="宋体" w:hint="eastAsia"/>
                <w:sz w:val="21"/>
                <w:szCs w:val="21"/>
              </w:rPr>
              <w:t xml:space="preserve">  </w:t>
            </w:r>
            <w:r>
              <w:rPr>
                <w:rFonts w:ascii="宋体" w:hAnsi="宋体" w:hint="eastAsia"/>
                <w:sz w:val="21"/>
                <w:szCs w:val="21"/>
              </w:rPr>
              <w:t>）项，需重点跟踪整改，项目序号及具体内容如下：</w:t>
            </w:r>
          </w:p>
          <w:p w:rsidR="00F14EAC" w:rsidRDefault="00F14EAC">
            <w:pPr>
              <w:spacing w:line="240" w:lineRule="exact"/>
              <w:jc w:val="left"/>
              <w:rPr>
                <w:rFonts w:ascii="宋体" w:hAnsi="宋体"/>
                <w:sz w:val="21"/>
                <w:szCs w:val="21"/>
              </w:rPr>
            </w:pPr>
          </w:p>
          <w:p w:rsidR="00F14EAC" w:rsidRDefault="00902EAF">
            <w:pPr>
              <w:spacing w:line="240" w:lineRule="exact"/>
              <w:ind w:firstLine="421"/>
              <w:rPr>
                <w:rFonts w:ascii="宋体" w:eastAsia="宋体" w:hAnsi="宋体"/>
                <w:b/>
                <w:sz w:val="21"/>
                <w:szCs w:val="21"/>
              </w:rPr>
            </w:pPr>
            <w:r>
              <w:rPr>
                <w:rFonts w:ascii="宋体" w:hAnsi="宋体" w:hint="eastAsia"/>
                <w:sz w:val="21"/>
                <w:szCs w:val="21"/>
              </w:rPr>
              <w:t>一般项（</w:t>
            </w:r>
            <w:r>
              <w:rPr>
                <w:rFonts w:ascii="宋体" w:hAnsi="宋体" w:hint="eastAsia"/>
                <w:sz w:val="21"/>
                <w:szCs w:val="21"/>
              </w:rPr>
              <w:t xml:space="preserve">  </w:t>
            </w:r>
            <w:r>
              <w:rPr>
                <w:rFonts w:ascii="宋体" w:hAnsi="宋体" w:hint="eastAsia"/>
                <w:sz w:val="21"/>
                <w:szCs w:val="21"/>
              </w:rPr>
              <w:t>）项，项目序号分别是：</w:t>
            </w:r>
          </w:p>
          <w:p w:rsidR="00F14EAC" w:rsidRDefault="00902EAF">
            <w:pPr>
              <w:spacing w:line="240" w:lineRule="exact"/>
              <w:jc w:val="left"/>
              <w:rPr>
                <w:rFonts w:ascii="宋体" w:hAnsi="宋体"/>
                <w:b/>
                <w:sz w:val="21"/>
                <w:szCs w:val="21"/>
              </w:rPr>
            </w:pPr>
            <w:r>
              <w:rPr>
                <w:rFonts w:ascii="宋体" w:hAnsi="宋体" w:hint="eastAsia"/>
                <w:b/>
                <w:sz w:val="21"/>
                <w:szCs w:val="21"/>
              </w:rPr>
              <w:t>结果处理：</w:t>
            </w:r>
          </w:p>
          <w:p w:rsidR="00F14EAC" w:rsidRDefault="00902EAF">
            <w:pPr>
              <w:spacing w:line="240" w:lineRule="exact"/>
              <w:ind w:firstLineChars="100" w:firstLine="206"/>
              <w:jc w:val="left"/>
              <w:rPr>
                <w:rFonts w:ascii="宋体" w:hAnsi="宋体"/>
                <w:sz w:val="21"/>
                <w:szCs w:val="21"/>
              </w:rPr>
            </w:pPr>
            <w:r>
              <w:rPr>
                <w:rFonts w:ascii="宋体" w:hAnsi="宋体" w:hint="eastAsia"/>
                <w:sz w:val="21"/>
                <w:szCs w:val="21"/>
              </w:rPr>
              <w:t>□此次检查未发现违法违规行为和风险隐患问题；</w:t>
            </w:r>
          </w:p>
          <w:p w:rsidR="00F14EAC" w:rsidRDefault="00902EAF">
            <w:pPr>
              <w:spacing w:line="240" w:lineRule="exact"/>
              <w:ind w:firstLineChars="100" w:firstLine="206"/>
              <w:jc w:val="left"/>
              <w:rPr>
                <w:rFonts w:ascii="宋体" w:hAnsi="宋体"/>
                <w:sz w:val="21"/>
                <w:szCs w:val="21"/>
              </w:rPr>
            </w:pPr>
            <w:r>
              <w:rPr>
                <w:rFonts w:ascii="宋体" w:hAnsi="宋体" w:hint="eastAsia"/>
                <w:sz w:val="21"/>
                <w:szCs w:val="21"/>
              </w:rPr>
              <w:t>□此次检查发现不符合监督检查要点表一般项目，存在轻微风险隐患，不涉及违法行为，责令当场改正，且已整改到位；</w:t>
            </w:r>
          </w:p>
          <w:p w:rsidR="00F14EAC" w:rsidRDefault="00902EAF">
            <w:pPr>
              <w:spacing w:line="240" w:lineRule="exact"/>
              <w:ind w:firstLineChars="100" w:firstLine="206"/>
              <w:jc w:val="left"/>
              <w:rPr>
                <w:rFonts w:ascii="宋体" w:hAnsi="宋体"/>
                <w:sz w:val="21"/>
                <w:szCs w:val="21"/>
              </w:rPr>
            </w:pPr>
            <w:r>
              <w:rPr>
                <w:rFonts w:ascii="宋体" w:hAnsi="宋体" w:hint="eastAsia"/>
                <w:sz w:val="21"/>
                <w:szCs w:val="21"/>
              </w:rPr>
              <w:t>□此次检查发现不符合监督检查要点表相关项目，存在轻微违法违规行为，实施简易程序行政处罚，</w:t>
            </w:r>
          </w:p>
          <w:p w:rsidR="00F14EAC" w:rsidRDefault="00902EAF">
            <w:pPr>
              <w:spacing w:line="240" w:lineRule="exact"/>
              <w:ind w:firstLineChars="200" w:firstLine="412"/>
              <w:jc w:val="left"/>
              <w:rPr>
                <w:rFonts w:ascii="宋体" w:hAnsi="宋体"/>
                <w:sz w:val="21"/>
                <w:szCs w:val="21"/>
              </w:rPr>
            </w:pPr>
            <w:r>
              <w:rPr>
                <w:rFonts w:ascii="宋体" w:hAnsi="宋体" w:hint="eastAsia"/>
                <w:sz w:val="21"/>
                <w:szCs w:val="21"/>
              </w:rPr>
              <w:t>并做出责令限期整改决定；</w:t>
            </w:r>
          </w:p>
          <w:p w:rsidR="00F14EAC" w:rsidRDefault="00902EAF">
            <w:pPr>
              <w:spacing w:line="240" w:lineRule="exact"/>
              <w:ind w:firstLineChars="100" w:firstLine="206"/>
              <w:jc w:val="left"/>
              <w:rPr>
                <w:rFonts w:ascii="宋体" w:eastAsia="宋体" w:hAnsi="宋体"/>
                <w:sz w:val="21"/>
                <w:szCs w:val="21"/>
              </w:rPr>
            </w:pPr>
            <w:r>
              <w:rPr>
                <w:rFonts w:ascii="宋体" w:hAnsi="宋体" w:hint="eastAsia"/>
                <w:sz w:val="21"/>
                <w:szCs w:val="21"/>
              </w:rPr>
              <w:t>□此次检查发现不符合监督检查要点表相关项目，涉嫌违法违规，建议立案查处。</w:t>
            </w:r>
          </w:p>
          <w:p w:rsidR="00F14EAC" w:rsidRDefault="00902EAF">
            <w:pPr>
              <w:spacing w:line="240" w:lineRule="exact"/>
              <w:jc w:val="left"/>
              <w:rPr>
                <w:rFonts w:ascii="宋体" w:hAnsi="宋体"/>
                <w:sz w:val="21"/>
                <w:szCs w:val="21"/>
                <w:u w:val="single"/>
              </w:rPr>
            </w:pPr>
            <w:r>
              <w:rPr>
                <w:rFonts w:ascii="宋体" w:hAnsi="宋体" w:hint="eastAsia"/>
                <w:b/>
                <w:sz w:val="21"/>
                <w:szCs w:val="21"/>
              </w:rPr>
              <w:t>说明</w:t>
            </w:r>
            <w:r>
              <w:rPr>
                <w:rFonts w:ascii="宋体" w:hAnsi="宋体" w:hint="eastAsia"/>
                <w:sz w:val="21"/>
                <w:szCs w:val="21"/>
              </w:rPr>
              <w:t>（可附页）</w:t>
            </w:r>
            <w:r>
              <w:rPr>
                <w:rFonts w:ascii="宋体" w:hAnsi="宋体" w:hint="eastAsia"/>
                <w:b/>
                <w:bCs/>
                <w:sz w:val="21"/>
                <w:szCs w:val="21"/>
              </w:rPr>
              <w:t>：</w:t>
            </w:r>
          </w:p>
        </w:tc>
      </w:tr>
      <w:tr w:rsidR="00F14EAC">
        <w:trPr>
          <w:trHeight w:val="1135"/>
          <w:jc w:val="center"/>
        </w:trPr>
        <w:tc>
          <w:tcPr>
            <w:tcW w:w="4679" w:type="dxa"/>
            <w:gridSpan w:val="2"/>
          </w:tcPr>
          <w:p w:rsidR="00F14EAC" w:rsidRDefault="00902EAF">
            <w:pPr>
              <w:spacing w:line="240" w:lineRule="exact"/>
              <w:rPr>
                <w:rFonts w:ascii="宋体"/>
                <w:sz w:val="21"/>
                <w:szCs w:val="21"/>
              </w:rPr>
            </w:pPr>
            <w:r>
              <w:rPr>
                <w:rFonts w:ascii="宋体" w:hint="eastAsia"/>
                <w:sz w:val="21"/>
                <w:szCs w:val="21"/>
              </w:rPr>
              <w:t>检查人员（签名）：</w:t>
            </w:r>
          </w:p>
          <w:p w:rsidR="00F14EAC" w:rsidRDefault="00902EAF">
            <w:pPr>
              <w:spacing w:line="240" w:lineRule="exact"/>
              <w:jc w:val="left"/>
              <w:rPr>
                <w:rFonts w:hAnsi="宋体"/>
                <w:sz w:val="21"/>
                <w:szCs w:val="21"/>
              </w:rPr>
            </w:pPr>
            <w:r>
              <w:rPr>
                <w:rFonts w:ascii="宋体" w:hint="eastAsia"/>
                <w:sz w:val="21"/>
                <w:szCs w:val="21"/>
              </w:rPr>
              <w:t>检查（执法）证件编号：</w:t>
            </w:r>
          </w:p>
          <w:p w:rsidR="00F14EAC" w:rsidRDefault="00902EAF">
            <w:pPr>
              <w:spacing w:line="240" w:lineRule="exact"/>
              <w:jc w:val="center"/>
              <w:rPr>
                <w:rFonts w:ascii="宋体" w:hAnsi="宋体"/>
                <w:sz w:val="21"/>
                <w:szCs w:val="21"/>
              </w:rPr>
            </w:pPr>
            <w:r>
              <w:rPr>
                <w:rFonts w:hAnsi="宋体" w:hint="eastAsia"/>
                <w:sz w:val="21"/>
                <w:szCs w:val="21"/>
              </w:rPr>
              <w:t xml:space="preserve">                  </w:t>
            </w:r>
            <w:r>
              <w:rPr>
                <w:rFonts w:hAnsi="宋体" w:hint="eastAsia"/>
                <w:sz w:val="21"/>
                <w:szCs w:val="21"/>
              </w:rPr>
              <w:t>年</w:t>
            </w:r>
            <w:r>
              <w:rPr>
                <w:rFonts w:hAnsi="宋体" w:hint="eastAsia"/>
                <w:sz w:val="21"/>
                <w:szCs w:val="21"/>
              </w:rPr>
              <w:t xml:space="preserve">  </w:t>
            </w:r>
            <w:r>
              <w:rPr>
                <w:rFonts w:hAnsi="宋体" w:hint="eastAsia"/>
                <w:sz w:val="21"/>
                <w:szCs w:val="21"/>
              </w:rPr>
              <w:t>月</w:t>
            </w:r>
            <w:r>
              <w:rPr>
                <w:rFonts w:hAnsi="宋体" w:hint="eastAsia"/>
                <w:sz w:val="21"/>
                <w:szCs w:val="21"/>
              </w:rPr>
              <w:t xml:space="preserve">  </w:t>
            </w:r>
            <w:r>
              <w:rPr>
                <w:rFonts w:hAnsi="宋体" w:hint="eastAsia"/>
                <w:sz w:val="21"/>
                <w:szCs w:val="21"/>
              </w:rPr>
              <w:t>日</w:t>
            </w:r>
          </w:p>
        </w:tc>
        <w:tc>
          <w:tcPr>
            <w:tcW w:w="4960" w:type="dxa"/>
            <w:gridSpan w:val="3"/>
          </w:tcPr>
          <w:p w:rsidR="00F14EAC" w:rsidRDefault="00902EAF">
            <w:pPr>
              <w:spacing w:line="240" w:lineRule="exact"/>
              <w:ind w:right="840"/>
              <w:rPr>
                <w:rFonts w:ascii="宋体" w:hAnsi="宋体"/>
                <w:sz w:val="21"/>
                <w:szCs w:val="21"/>
              </w:rPr>
            </w:pPr>
            <w:r>
              <w:rPr>
                <w:rFonts w:ascii="宋体" w:hAnsi="宋体" w:hint="eastAsia"/>
                <w:sz w:val="21"/>
                <w:szCs w:val="21"/>
              </w:rPr>
              <w:t>被检查单位意见：</w:t>
            </w:r>
          </w:p>
          <w:p w:rsidR="00F14EAC" w:rsidRDefault="00902EAF">
            <w:pPr>
              <w:spacing w:line="240" w:lineRule="exact"/>
              <w:ind w:right="840"/>
              <w:rPr>
                <w:rFonts w:ascii="宋体" w:hAnsi="宋体"/>
                <w:sz w:val="21"/>
                <w:szCs w:val="21"/>
              </w:rPr>
            </w:pPr>
            <w:r>
              <w:rPr>
                <w:rFonts w:ascii="宋体" w:hAnsi="宋体" w:hint="eastAsia"/>
                <w:sz w:val="21"/>
                <w:szCs w:val="21"/>
              </w:rPr>
              <w:t>法定代表人或负责人：</w:t>
            </w:r>
            <w:r>
              <w:rPr>
                <w:rFonts w:ascii="宋体" w:hAnsi="宋体" w:hint="eastAsia"/>
                <w:sz w:val="21"/>
                <w:szCs w:val="21"/>
              </w:rPr>
              <w:t xml:space="preserve">         </w:t>
            </w:r>
          </w:p>
          <w:p w:rsidR="00F14EAC" w:rsidRDefault="00902EAF">
            <w:pPr>
              <w:spacing w:line="240" w:lineRule="exact"/>
              <w:rPr>
                <w:rFonts w:ascii="宋体" w:hAnsi="宋体"/>
                <w:sz w:val="21"/>
                <w:szCs w:val="21"/>
              </w:rPr>
            </w:pPr>
            <w:r>
              <w:rPr>
                <w:rFonts w:ascii="宋体" w:hAnsi="宋体" w:hint="eastAsia"/>
                <w:sz w:val="21"/>
                <w:szCs w:val="21"/>
              </w:rPr>
              <w:t xml:space="preserve"> </w:t>
            </w:r>
            <w:r>
              <w:rPr>
                <w:rFonts w:hAnsi="宋体" w:hint="eastAsia"/>
                <w:sz w:val="21"/>
                <w:szCs w:val="21"/>
              </w:rPr>
              <w:t xml:space="preserve">                      </w:t>
            </w:r>
            <w:r>
              <w:rPr>
                <w:rFonts w:hAnsi="宋体" w:hint="eastAsia"/>
                <w:sz w:val="21"/>
                <w:szCs w:val="21"/>
              </w:rPr>
              <w:t>年</w:t>
            </w:r>
            <w:r>
              <w:rPr>
                <w:rFonts w:hAnsi="宋体" w:hint="eastAsia"/>
                <w:sz w:val="21"/>
                <w:szCs w:val="21"/>
              </w:rPr>
              <w:t xml:space="preserve">  </w:t>
            </w:r>
            <w:r>
              <w:rPr>
                <w:rFonts w:hAnsi="宋体" w:hint="eastAsia"/>
                <w:sz w:val="21"/>
                <w:szCs w:val="21"/>
              </w:rPr>
              <w:t>月</w:t>
            </w:r>
            <w:r>
              <w:rPr>
                <w:rFonts w:hAnsi="宋体" w:hint="eastAsia"/>
                <w:sz w:val="21"/>
                <w:szCs w:val="21"/>
              </w:rPr>
              <w:t xml:space="preserve">  </w:t>
            </w:r>
            <w:r>
              <w:rPr>
                <w:rFonts w:hAnsi="宋体" w:hint="eastAsia"/>
                <w:sz w:val="21"/>
                <w:szCs w:val="21"/>
              </w:rPr>
              <w:t>日（章）</w:t>
            </w:r>
          </w:p>
        </w:tc>
      </w:tr>
    </w:tbl>
    <w:p w:rsidR="00F14EAC" w:rsidRDefault="00902EAF">
      <w:pPr>
        <w:adjustRightInd w:val="0"/>
        <w:snapToGrid w:val="0"/>
        <w:spacing w:line="360" w:lineRule="exact"/>
        <w:rPr>
          <w:rFonts w:ascii="宋体" w:hAnsi="宋体"/>
          <w:sz w:val="21"/>
          <w:szCs w:val="21"/>
        </w:rPr>
      </w:pPr>
      <w:r>
        <w:rPr>
          <w:rFonts w:ascii="宋体" w:hAnsi="宋体" w:hint="eastAsia"/>
          <w:b/>
          <w:sz w:val="21"/>
          <w:szCs w:val="21"/>
        </w:rPr>
        <w:t>备注：</w:t>
      </w:r>
      <w:r>
        <w:rPr>
          <w:rFonts w:ascii="宋体" w:hAnsi="宋体" w:hint="eastAsia"/>
          <w:sz w:val="21"/>
          <w:szCs w:val="21"/>
        </w:rPr>
        <w:t>已提醒食品经营者严格落实《安全生产法》主体责任义务，如自建房屋质量安全、特种设备使用安全和购买合格的灶具等，以及严格落实疫情防控主体责任。</w:t>
      </w:r>
    </w:p>
    <w:p w:rsidR="00F14EAC" w:rsidRDefault="00F14EAC">
      <w:pPr>
        <w:adjustRightInd w:val="0"/>
        <w:rPr>
          <w:rFonts w:ascii="宋体" w:hAnsi="宋体"/>
          <w:szCs w:val="32"/>
        </w:rPr>
      </w:pPr>
    </w:p>
    <w:p w:rsidR="00F14EAC" w:rsidRDefault="00F14EAC">
      <w:pPr>
        <w:snapToGrid w:val="0"/>
        <w:spacing w:line="720" w:lineRule="atLeast"/>
        <w:jc w:val="center"/>
        <w:rPr>
          <w:rFonts w:ascii="方正小标宋_GBK" w:eastAsia="方正小标宋_GBK" w:hAnsi="方正小标宋_GBK" w:cs="方正小标宋_GBK"/>
          <w:sz w:val="44"/>
          <w:szCs w:val="44"/>
        </w:rPr>
      </w:pPr>
    </w:p>
    <w:p w:rsidR="00F14EAC" w:rsidRDefault="00902EAF">
      <w:pPr>
        <w:snapToGrid w:val="0"/>
        <w:spacing w:line="72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填表说明</w:t>
      </w:r>
    </w:p>
    <w:p w:rsidR="00F14EAC" w:rsidRDefault="00F14EAC">
      <w:pPr>
        <w:ind w:firstLineChars="200" w:firstLine="632"/>
        <w:rPr>
          <w:szCs w:val="32"/>
        </w:rPr>
      </w:pPr>
    </w:p>
    <w:p w:rsidR="00F14EAC" w:rsidRDefault="00902EAF">
      <w:pPr>
        <w:ind w:firstLineChars="200" w:firstLine="632"/>
        <w:rPr>
          <w:szCs w:val="32"/>
        </w:rPr>
      </w:pPr>
      <w:r>
        <w:rPr>
          <w:szCs w:val="32"/>
        </w:rPr>
        <w:t>1</w:t>
      </w:r>
      <w:r>
        <w:rPr>
          <w:szCs w:val="32"/>
        </w:rPr>
        <w:t>．</w:t>
      </w:r>
      <w:r>
        <w:rPr>
          <w:szCs w:val="32"/>
        </w:rPr>
        <w:t>编号：由四位年度号</w:t>
      </w:r>
      <w:r>
        <w:rPr>
          <w:szCs w:val="32"/>
        </w:rPr>
        <w:t>+1</w:t>
      </w:r>
      <w:r>
        <w:rPr>
          <w:szCs w:val="32"/>
        </w:rPr>
        <w:t>位要点表序号</w:t>
      </w:r>
      <w:r>
        <w:rPr>
          <w:szCs w:val="32"/>
        </w:rPr>
        <w:t>+</w:t>
      </w:r>
      <w:r>
        <w:rPr>
          <w:szCs w:val="32"/>
        </w:rPr>
        <w:t>六位流水号组成，如</w:t>
      </w:r>
      <w:r>
        <w:rPr>
          <w:szCs w:val="32"/>
        </w:rPr>
        <w:t>2022</w:t>
      </w:r>
      <w:r>
        <w:rPr>
          <w:rFonts w:ascii="方正仿宋_GBK" w:hAnsi="方正仿宋_GBK" w:cs="方正仿宋_GBK" w:hint="eastAsia"/>
          <w:szCs w:val="32"/>
        </w:rPr>
        <w:t>-</w:t>
      </w:r>
      <w:r>
        <w:rPr>
          <w:szCs w:val="32"/>
        </w:rPr>
        <w:t>1</w:t>
      </w:r>
      <w:r>
        <w:rPr>
          <w:rFonts w:ascii="方正仿宋_GBK" w:hAnsi="方正仿宋_GBK" w:cs="方正仿宋_GBK" w:hint="eastAsia"/>
          <w:szCs w:val="32"/>
        </w:rPr>
        <w:t>-</w:t>
      </w:r>
      <w:r>
        <w:rPr>
          <w:szCs w:val="32"/>
        </w:rPr>
        <w:t>000001</w:t>
      </w:r>
      <w:r>
        <w:rPr>
          <w:szCs w:val="32"/>
        </w:rPr>
        <w:t>。生产、销售、餐饮服务各环节对应的要点表序号分别为</w:t>
      </w:r>
      <w:r>
        <w:rPr>
          <w:szCs w:val="32"/>
        </w:rPr>
        <w:t>“1</w:t>
      </w:r>
      <w:r>
        <w:rPr>
          <w:szCs w:val="32"/>
        </w:rPr>
        <w:t>、</w:t>
      </w:r>
      <w:r>
        <w:rPr>
          <w:szCs w:val="32"/>
        </w:rPr>
        <w:t>2</w:t>
      </w:r>
      <w:r>
        <w:rPr>
          <w:szCs w:val="32"/>
        </w:rPr>
        <w:t>、</w:t>
      </w:r>
      <w:r>
        <w:rPr>
          <w:szCs w:val="32"/>
        </w:rPr>
        <w:t>3”</w:t>
      </w:r>
      <w:r>
        <w:rPr>
          <w:szCs w:val="32"/>
        </w:rPr>
        <w:t>。</w:t>
      </w:r>
    </w:p>
    <w:p w:rsidR="00F14EAC" w:rsidRDefault="00902EAF">
      <w:pPr>
        <w:ind w:firstLineChars="200" w:firstLine="632"/>
        <w:rPr>
          <w:szCs w:val="32"/>
        </w:rPr>
      </w:pPr>
      <w:r>
        <w:rPr>
          <w:szCs w:val="32"/>
        </w:rPr>
        <w:t>2</w:t>
      </w:r>
      <w:r>
        <w:rPr>
          <w:szCs w:val="32"/>
        </w:rPr>
        <w:t>．</w:t>
      </w:r>
      <w:r>
        <w:rPr>
          <w:szCs w:val="32"/>
        </w:rPr>
        <w:t>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rsidR="00F14EAC" w:rsidRDefault="00902EAF">
      <w:pPr>
        <w:ind w:firstLineChars="200" w:firstLine="632"/>
        <w:rPr>
          <w:szCs w:val="32"/>
        </w:rPr>
      </w:pPr>
      <w:r>
        <w:rPr>
          <w:szCs w:val="32"/>
        </w:rPr>
        <w:t>3</w:t>
      </w:r>
      <w:r>
        <w:rPr>
          <w:szCs w:val="32"/>
        </w:rPr>
        <w:t>．</w:t>
      </w:r>
      <w:r>
        <w:rPr>
          <w:szCs w:val="32"/>
        </w:rPr>
        <w:t>经营地址：填写食品经营许可证（或仅销售预包装食品备案信息采集表）上载明的经营地址。</w:t>
      </w:r>
    </w:p>
    <w:p w:rsidR="00F14EAC" w:rsidRDefault="00902EAF">
      <w:pPr>
        <w:ind w:firstLineChars="200" w:firstLine="596"/>
        <w:rPr>
          <w:szCs w:val="32"/>
        </w:rPr>
      </w:pPr>
      <w:r>
        <w:rPr>
          <w:spacing w:val="-9"/>
          <w:szCs w:val="32"/>
        </w:rPr>
        <w:t>4</w:t>
      </w:r>
      <w:r>
        <w:rPr>
          <w:spacing w:val="-9"/>
          <w:szCs w:val="32"/>
        </w:rPr>
        <w:t>．</w:t>
      </w:r>
      <w:r>
        <w:rPr>
          <w:spacing w:val="-9"/>
          <w:szCs w:val="32"/>
        </w:rPr>
        <w:t>联系人、联系方式：填写法人或者负责人的姓名及联系方式</w:t>
      </w:r>
      <w:r>
        <w:rPr>
          <w:szCs w:val="32"/>
        </w:rPr>
        <w:t>。</w:t>
      </w:r>
    </w:p>
    <w:p w:rsidR="00F14EAC" w:rsidRDefault="00902EAF">
      <w:pPr>
        <w:ind w:firstLineChars="200" w:firstLine="632"/>
        <w:rPr>
          <w:szCs w:val="32"/>
        </w:rPr>
      </w:pPr>
      <w:r>
        <w:rPr>
          <w:szCs w:val="32"/>
        </w:rPr>
        <w:t>5</w:t>
      </w:r>
      <w:r>
        <w:rPr>
          <w:szCs w:val="32"/>
        </w:rPr>
        <w:t>．</w:t>
      </w:r>
      <w:r>
        <w:rPr>
          <w:szCs w:val="32"/>
        </w:rPr>
        <w:t>许可证编号或备案编号：与食品经营许可证（或仅销售预包装食品备案信息采集表）上载明的内容一致。食用农产品销售者填写统一社会信用代码。</w:t>
      </w:r>
    </w:p>
    <w:p w:rsidR="00F14EAC" w:rsidRDefault="00902EAF">
      <w:pPr>
        <w:ind w:firstLineChars="200" w:firstLine="632"/>
        <w:rPr>
          <w:szCs w:val="32"/>
        </w:rPr>
      </w:pPr>
      <w:r>
        <w:rPr>
          <w:szCs w:val="32"/>
        </w:rPr>
        <w:t>6</w:t>
      </w:r>
      <w:r>
        <w:rPr>
          <w:szCs w:val="32"/>
        </w:rPr>
        <w:t>．</w:t>
      </w:r>
      <w:r>
        <w:rPr>
          <w:szCs w:val="32"/>
        </w:rPr>
        <w:t>检查次数：填写</w:t>
      </w:r>
      <w:r>
        <w:rPr>
          <w:szCs w:val="32"/>
        </w:rPr>
        <w:t>本次检查属于本年度对食品经营者开展的监督检查的次数。</w:t>
      </w:r>
    </w:p>
    <w:p w:rsidR="00F14EAC" w:rsidRDefault="00902EAF">
      <w:pPr>
        <w:ind w:firstLineChars="200" w:firstLine="632"/>
        <w:rPr>
          <w:szCs w:val="32"/>
        </w:rPr>
      </w:pPr>
      <w:r>
        <w:rPr>
          <w:szCs w:val="32"/>
        </w:rPr>
        <w:t>7</w:t>
      </w:r>
      <w:r>
        <w:rPr>
          <w:szCs w:val="32"/>
        </w:rPr>
        <w:t>．</w:t>
      </w:r>
      <w:r>
        <w:rPr>
          <w:szCs w:val="32"/>
        </w:rPr>
        <w:t>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F14EAC" w:rsidRDefault="00902EAF">
      <w:pPr>
        <w:ind w:firstLineChars="200" w:firstLine="632"/>
        <w:rPr>
          <w:szCs w:val="32"/>
        </w:rPr>
      </w:pPr>
      <w:r>
        <w:rPr>
          <w:szCs w:val="32"/>
        </w:rPr>
        <w:t>8</w:t>
      </w:r>
      <w:r>
        <w:rPr>
          <w:szCs w:val="32"/>
        </w:rPr>
        <w:t>．</w:t>
      </w:r>
      <w:r>
        <w:rPr>
          <w:szCs w:val="32"/>
        </w:rPr>
        <w:t>检查结果：发现问题的重点项目应逐项填写，并明确填写存在的具体问题。</w:t>
      </w:r>
    </w:p>
    <w:p w:rsidR="00F14EAC" w:rsidRDefault="00902EAF">
      <w:pPr>
        <w:ind w:firstLineChars="200" w:firstLine="632"/>
        <w:rPr>
          <w:szCs w:val="32"/>
        </w:rPr>
      </w:pPr>
      <w:r>
        <w:rPr>
          <w:szCs w:val="32"/>
        </w:rPr>
        <w:t>9</w:t>
      </w:r>
      <w:r>
        <w:rPr>
          <w:szCs w:val="32"/>
        </w:rPr>
        <w:t>．</w:t>
      </w:r>
      <w:r>
        <w:rPr>
          <w:szCs w:val="32"/>
        </w:rPr>
        <w:t>结果处理：几种情形并存的，应当根据不同情形处理要求，同时做出处理。如存在需要调整风险等级情形的，还需及时调整食品安全风险等级。</w:t>
      </w:r>
    </w:p>
    <w:p w:rsidR="00F14EAC" w:rsidRDefault="00902EAF">
      <w:pPr>
        <w:ind w:firstLineChars="200" w:firstLine="632"/>
        <w:rPr>
          <w:szCs w:val="32"/>
        </w:rPr>
      </w:pPr>
      <w:r>
        <w:rPr>
          <w:szCs w:val="32"/>
        </w:rPr>
        <w:t>10</w:t>
      </w:r>
      <w:r>
        <w:rPr>
          <w:szCs w:val="32"/>
        </w:rPr>
        <w:t>．</w:t>
      </w:r>
      <w:r>
        <w:rPr>
          <w:szCs w:val="32"/>
        </w:rPr>
        <w:t>说明：对</w:t>
      </w:r>
      <w:r>
        <w:rPr>
          <w:szCs w:val="32"/>
        </w:rPr>
        <w:t>发现问题及处置措施进行详细描述，可附页。</w:t>
      </w:r>
    </w:p>
    <w:p w:rsidR="00F14EAC" w:rsidRDefault="00902EAF">
      <w:pPr>
        <w:ind w:firstLineChars="200" w:firstLine="632"/>
        <w:rPr>
          <w:szCs w:val="32"/>
        </w:rPr>
      </w:pPr>
      <w:r>
        <w:rPr>
          <w:szCs w:val="32"/>
        </w:rPr>
        <w:t>11</w:t>
      </w:r>
      <w:r>
        <w:rPr>
          <w:szCs w:val="32"/>
        </w:rPr>
        <w:t>．</w:t>
      </w:r>
      <w:r>
        <w:rPr>
          <w:szCs w:val="32"/>
        </w:rPr>
        <w:t>本表一式三份，一份反馈食品经营者，一份监管部门留存，一份用于在经营场所醒目位置张贴公开。</w:t>
      </w:r>
    </w:p>
    <w:sectPr w:rsidR="00F14EAC">
      <w:headerReference w:type="default" r:id="rId16"/>
      <w:footerReference w:type="default" r:id="rId17"/>
      <w:pgSz w:w="11906" w:h="16838"/>
      <w:pgMar w:top="2098" w:right="1531" w:bottom="1984" w:left="1531" w:header="851" w:footer="1474" w:gutter="0"/>
      <w:cols w:space="720"/>
      <w:docGrid w:type="linesAndChars"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AF" w:rsidRDefault="00902EAF">
      <w:r>
        <w:separator/>
      </w:r>
    </w:p>
  </w:endnote>
  <w:endnote w:type="continuationSeparator" w:id="0">
    <w:p w:rsidR="00902EAF" w:rsidRDefault="0090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902EAF">
    <w:pPr>
      <w:pStyle w:val="a6"/>
      <w:ind w:firstLineChars="100" w:firstLine="280"/>
      <w:rPr>
        <w:rFonts w:ascii="宋体" w:eastAsia="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14EAC" w:rsidRDefault="00902EAF">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rsidR="00F14EAC" w:rsidRDefault="00F14E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902EAF">
    <w:pPr>
      <w:jc w:val="right"/>
      <w:rPr>
        <w:rFonts w:ascii="宋体" w:eastAsia="宋体" w:hAnsi="宋体" w:cs="宋体"/>
        <w:b/>
        <w:bCs/>
        <w:color w:val="005192"/>
        <w:sz w:val="28"/>
        <w:szCs w:val="44"/>
      </w:rPr>
    </w:pPr>
    <w:r>
      <w:rPr>
        <w:noProof/>
        <w:sz w:val="28"/>
      </w:rPr>
      <mc:AlternateContent>
        <mc:Choice Requires="wps">
          <w:drawing>
            <wp:anchor distT="0" distB="0" distL="114300" distR="114300" simplePos="0" relativeHeight="251660288" behindDoc="1" locked="0" layoutInCell="1" allowOverlap="1">
              <wp:simplePos x="0" y="0"/>
              <wp:positionH relativeFrom="margin">
                <wp:align>outside</wp:align>
              </wp:positionH>
              <wp:positionV relativeFrom="paragraph">
                <wp:posOffset>-148590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14EAC" w:rsidRDefault="00902EAF">
                          <w:pPr>
                            <w:snapToGrid w:val="0"/>
                            <w:rPr>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482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11.7pt;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" filled="f" stroked="f" strokeweight=".5pt">
              <v:textbox style="mso-fit-shape-to-text:t" inset="0,0,0,0">
                <w:txbxContent>
                  <w:p w:rsidR="00F14EAC" w:rsidRDefault="00902EAF">
                    <w:pPr>
                      <w:snapToGrid w:val="0"/>
                      <w:rPr>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482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r>
      <w:rPr>
        <w:noProof/>
        <w:color w:val="FAFAF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106680</wp:posOffset>
              </wp:positionV>
              <wp:extent cx="5616575" cy="1905"/>
              <wp:effectExtent l="0" t="0" r="0" b="0"/>
              <wp:wrapNone/>
              <wp:docPr id="11"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0pt;margin-top:8.4pt;height:0.15pt;width:442.25pt;z-index:251683840;mso-width-relative:page;mso-height-relative:page;" filled="f" stroked="t" coordsize="21600,21600" o:gfxdata="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wWQ2z0QAAAAYBAAAPAAAAAAAAAAEA&#10;IAAAADgAAABkcnMvZG93bnJldi54bWxQSwECFAAUAAAACACHTuJAAXcrVccBAABfAwAADgAAAAAA&#10;AAABACAAAAA2AQAAZHJzL2Uyb0RvYy54bWxQSwUGAAAAAAYABgBZAQAAbwUAAAAA&#10;">
              <v:fill on="f" focussize="0,0"/>
              <v:stroke weight="1.75pt" color="#005192" joinstyle="round"/>
              <v:imagedata o:title=""/>
              <o:lock v:ext="edit" aspectratio="f"/>
            </v:line>
          </w:pict>
        </mc:Fallback>
      </mc:AlternateContent>
    </w:r>
  </w:p>
  <w:p w:rsidR="00F14EAC" w:rsidRDefault="00F14EAC" w:rsidP="000B482B">
    <w:pPr>
      <w:pStyle w:val="a6"/>
      <w:snapToGrid/>
      <w:spacing w:line="240" w:lineRule="exact"/>
      <w:ind w:firstLineChars="1700" w:firstLine="4779"/>
      <w:jc w:val="both"/>
      <w:rPr>
        <w:rFonts w:ascii="宋体" w:eastAsia="宋体" w:hAnsi="宋体" w:cs="宋体"/>
        <w:b/>
        <w:bCs/>
        <w:color w:val="005192"/>
        <w:sz w:val="28"/>
        <w:szCs w:val="44"/>
      </w:rPr>
    </w:pPr>
  </w:p>
  <w:p w:rsidR="00F14EAC" w:rsidRDefault="00902EAF" w:rsidP="000B482B">
    <w:pPr>
      <w:pStyle w:val="a6"/>
      <w:snapToGrid/>
      <w:ind w:firstLineChars="1700" w:firstLine="4779"/>
      <w:jc w:val="both"/>
      <w:rPr>
        <w:rFonts w:ascii="等线" w:hAnsi="等线"/>
        <w:sz w:val="28"/>
        <w:szCs w:val="28"/>
      </w:rPr>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p w:rsidR="00F14EAC" w:rsidRDefault="00F14EA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902EA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14EAC" w:rsidRDefault="00902EAF">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u8AFjRAAAAAgEAAA8AAAAAAAAAAQAgAAAAOAAAAGRycy9kb3ducmV2LnhtbFBL&#10;AQIUABQAAAAIAIdO4kDviV3IIAIAADcEAAAOAAAAAAAAAAEAIAAAADY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902EAF">
    <w:pPr>
      <w:jc w:val="right"/>
      <w:rPr>
        <w:rFonts w:ascii="宋体" w:eastAsia="宋体" w:hAnsi="宋体" w:cs="宋体"/>
        <w:b/>
        <w:bCs/>
        <w:color w:val="005192"/>
        <w:sz w:val="28"/>
        <w:szCs w:val="44"/>
      </w:rPr>
    </w:pPr>
    <w:r>
      <w:rPr>
        <w:noProof/>
        <w:sz w:val="28"/>
      </w:rPr>
      <mc:AlternateContent>
        <mc:Choice Requires="wps">
          <w:drawing>
            <wp:anchor distT="0" distB="0" distL="114300" distR="114300" simplePos="0" relativeHeight="251706368" behindDoc="1" locked="0" layoutInCell="1" allowOverlap="1">
              <wp:simplePos x="0" y="0"/>
              <wp:positionH relativeFrom="margin">
                <wp:align>outside</wp:align>
              </wp:positionH>
              <wp:positionV relativeFrom="paragraph">
                <wp:posOffset>-148590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14EAC" w:rsidRDefault="00902EAF">
                          <w:pPr>
                            <w:snapToGrid w:val="0"/>
                            <w:rPr>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7pt;height:144pt;width:144pt;mso-position-horizontal:outside;mso-position-horizontal-relative:margin;mso-wrap-style:none;z-index:-251610112;mso-width-relative:page;mso-height-relative:page;" filled="f" stroked="f" coordsize="21600,21600" o:gfxdata="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PHHV7NYAAAAIAQAADwAAAAAAAAABACAAAAA4AAAAZHJzL2Rvd25y&#10;ZXYueG1sUEsBAhQAFAAAAAgAh07iQKgocl0jAgAAOQQAAA4AAAAAAAAAAQAgAAAAOwEAAGRycy9l&#10;Mm9Eb2MueG1sUEsFBgAAAAAGAAYAWQEAANA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p w:rsidR="00F14EAC" w:rsidRDefault="00902EAF">
    <w:pPr>
      <w:pStyle w:val="a6"/>
      <w:snapToGrid/>
      <w:spacing w:line="240" w:lineRule="exact"/>
      <w:ind w:firstLineChars="1700" w:firstLine="5440"/>
      <w:jc w:val="both"/>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18415</wp:posOffset>
              </wp:positionV>
              <wp:extent cx="8100060" cy="1905"/>
              <wp:effectExtent l="0" t="0" r="0" b="0"/>
              <wp:wrapNone/>
              <wp:docPr id="16" name="直接连接符 5"/>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ln>
                      <a:effectLst/>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0pt;margin-top:1.45pt;height:0.15pt;width:637.8pt;z-index:251729920;mso-width-relative:page;mso-height-relative:page;" filled="f" stroked="t" coordsize="21600,21600" o:gfxdata="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AoKFlXSAAAABQEAAA8AAAAAAAAA&#10;AQAgAAAAOAAAAGRycy9kb3ducmV2LnhtbFBLAQIUABQAAAAIAIdO4kCPVuH/yAEAAF8DAAAOAAAA&#10;AAAAAAEAIAAAADcBAABkcnMvZTJvRG9jLnhtbFBLBQYAAAAABgAGAFkBAABxBQAAAAA=&#10;">
              <v:fill on="f" focussize="0,0"/>
              <v:stroke weight="1.75pt" color="#005192" joinstyle="round"/>
              <v:imagedata o:title=""/>
              <o:lock v:ext="edit" aspectratio="f"/>
            </v:line>
          </w:pict>
        </mc:Fallback>
      </mc:AlternateContent>
    </w:r>
  </w:p>
  <w:p w:rsidR="00F14EAC" w:rsidRDefault="00902EAF">
    <w:pPr>
      <w:pStyle w:val="a6"/>
      <w:snapToGrid/>
      <w:ind w:firstLineChars="3100" w:firstLine="8714"/>
      <w:jc w:val="both"/>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902EAF">
    <w:pPr>
      <w:jc w:val="right"/>
      <w:rPr>
        <w:rFonts w:ascii="宋体" w:eastAsia="宋体" w:hAnsi="宋体" w:cs="宋体"/>
        <w:b/>
        <w:bCs/>
        <w:color w:val="005192"/>
        <w:sz w:val="28"/>
        <w:szCs w:val="44"/>
      </w:rPr>
    </w:pPr>
    <w:r>
      <w:rPr>
        <w:noProof/>
        <w:color w:val="FAFAF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150495</wp:posOffset>
              </wp:positionV>
              <wp:extent cx="5616575" cy="1905"/>
              <wp:effectExtent l="0" t="0" r="0" b="0"/>
              <wp:wrapNone/>
              <wp:docPr id="21"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0pt;margin-top:11.85pt;height:0.15pt;width:442.25pt;z-index:251802624;mso-width-relative:page;mso-height-relative:page;" filled="f" stroked="t" coordsize="21600,21600" o:gfxdata="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wcUDP9IAAAAGAQAADwAAAAAAAAAB&#10;ACAAAAA4AAAAZHJzL2Rvd25yZXYueG1sUEsBAhQAFAAAAAgAh07iQPXlBUnHAQAAXwMAAA4AAAAA&#10;AAAAAQAgAAAANwEAAGRycy9lMm9Eb2MueG1sUEsFBgAAAAAGAAYAWQEAAHAFAAAAAA==&#10;">
              <v:fill on="f" focussize="0,0"/>
              <v:stroke weight="1.75pt" color="#005192" joinstyle="round"/>
              <v:imagedata o:title=""/>
              <o:lock v:ext="edit" aspectratio="f"/>
            </v:line>
          </w:pict>
        </mc:Fallback>
      </mc:AlternateContent>
    </w:r>
    <w:r>
      <w:rPr>
        <w:noProof/>
        <w:sz w:val="28"/>
      </w:rPr>
      <mc:AlternateContent>
        <mc:Choice Requires="wps">
          <w:drawing>
            <wp:anchor distT="0" distB="0" distL="114300" distR="114300" simplePos="0" relativeHeight="251779072" behindDoc="1" locked="0" layoutInCell="1" allowOverlap="1">
              <wp:simplePos x="0" y="0"/>
              <wp:positionH relativeFrom="margin">
                <wp:posOffset>4898390</wp:posOffset>
              </wp:positionH>
              <wp:positionV relativeFrom="paragraph">
                <wp:posOffset>-148590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14EAC" w:rsidRDefault="00902EAF">
                          <w:pPr>
                            <w:snapToGrid w:val="0"/>
                            <w:rPr>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85.7pt;margin-top:-11.7pt;height:144pt;width:144pt;mso-position-horizontal-relative:margin;mso-wrap-style:none;z-index:-251537408;mso-width-relative:page;mso-height-relative:page;" filled="f" stroked="f" coordsize="21600,21600" o:gfxdata="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ZMLd82QAAAAwBAAAPAAAAAAAAAAEAIAAAADgAAABkcnMvZG93&#10;bnJldi54bWxQSwECFAAUAAAACACHTuJAo2w0aiICAAA5BAAADgAAAAAAAAABACAAAAA+AQAAZHJz&#10;L2Uyb0RvYy54bWxQSwUGAAAAAAYABgBZAQAA0g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p w:rsidR="00F14EAC" w:rsidRDefault="00902EAF">
    <w:pPr>
      <w:pStyle w:val="a6"/>
      <w:ind w:firstLineChars="1709" w:firstLine="4804"/>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AF" w:rsidRDefault="00902EAF">
      <w:r>
        <w:separator/>
      </w:r>
    </w:p>
  </w:footnote>
  <w:footnote w:type="continuationSeparator" w:id="0">
    <w:p w:rsidR="00902EAF" w:rsidRDefault="0090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F14EAC">
    <w:pPr>
      <w:pStyle w:val="a7"/>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F14EAC">
    <w:pPr>
      <w:pStyle w:val="a7"/>
      <w:pBdr>
        <w:bottom w:val="none" w:sz="0" w:space="1" w:color="auto"/>
      </w:pBdr>
      <w:jc w:val="left"/>
      <w:rPr>
        <w:rFonts w:ascii="宋体" w:eastAsia="宋体" w:hAnsi="宋体" w:cs="宋体"/>
        <w:b/>
        <w:bCs/>
        <w:color w:val="005192"/>
        <w:sz w:val="32"/>
      </w:rPr>
    </w:pPr>
  </w:p>
  <w:p w:rsidR="00F14EAC" w:rsidRDefault="00902EAF">
    <w:pPr>
      <w:pStyle w:val="a7"/>
      <w:pBdr>
        <w:bottom w:val="none" w:sz="0" w:space="1" w:color="auto"/>
      </w:pBdr>
      <w:jc w:val="left"/>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extent cx="308610" cy="308610"/>
          <wp:effectExtent l="0" t="0" r="15240" b="15240"/>
          <wp:docPr id="7"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noProof/>
        <w:color w:val="FAFAFA"/>
        <w:sz w:val="3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4"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0.75pt;margin-top:36.15pt;height:0.15pt;width:442.25pt;z-index:251676672;mso-width-relative:page;mso-height-relative:page;" filled="f" stroked="t" coordsize="21600,21600" o:gfxdata="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b3KqytIAAAAHAQAADwAAAAAAAAAB&#10;ACAAAAA4AAAAZHJzL2Rvd25yZXYueG1sUEsBAhQAFAAAAAgAh07iQMd22cTHAQAAXgMAAA4AAAAA&#10;AAAAAQAgAAAANwEAAGRycy9lMm9Eb2MueG1sUEsFBgAAAAAGAAYAWQEAAHAFAAAAAA==&#10;">
              <v:fill on="f" focussize="0,0"/>
              <v:stroke weight="1.75pt" color="#005192" joinstyle="round"/>
              <v:imagedata o:title=""/>
              <o:lock v:ext="edit" aspectratio="f"/>
            </v:line>
          </w:pict>
        </mc:Fallback>
      </mc:AlternateContent>
    </w:r>
    <w:r>
      <w:rPr>
        <w:rFonts w:ascii="宋体" w:eastAsia="宋体" w:hAnsi="宋体" w:cs="宋体" w:hint="eastAsia"/>
        <w:b/>
        <w:bCs/>
        <w:color w:val="005192"/>
        <w:sz w:val="32"/>
      </w:rPr>
      <w:t>重庆市市场监督管理局行政</w:t>
    </w:r>
    <w:r>
      <w:rPr>
        <w:rFonts w:ascii="宋体" w:eastAsia="宋体" w:hAnsi="宋体" w:cs="宋体" w:hint="eastAsia"/>
        <w:b/>
        <w:bCs/>
        <w:color w:val="005192"/>
        <w:sz w:val="32"/>
        <w:szCs w:val="32"/>
        <w:lang w:eastAsia="zh-Hans"/>
      </w:rPr>
      <w:t>规范性文件</w:t>
    </w:r>
  </w:p>
  <w:p w:rsidR="00F14EAC" w:rsidRDefault="00F14EAC">
    <w:pPr>
      <w:pStyle w:val="a7"/>
      <w:pBdr>
        <w:bottom w:val="none" w:sz="0" w:space="1" w:color="auto"/>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F14EAC">
    <w:pPr>
      <w:pStyle w:val="a7"/>
      <w:pBdr>
        <w:bottom w:val="none" w:sz="0" w:space="1" w:color="auto"/>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902EAF">
    <w:pPr>
      <w:pStyle w:val="a7"/>
      <w:pBdr>
        <w:bottom w:val="none" w:sz="0" w:space="1" w:color="auto"/>
      </w:pBdr>
      <w:jc w:val="left"/>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extent cx="308610" cy="308610"/>
          <wp:effectExtent l="0" t="0" r="15240" b="15240"/>
          <wp:docPr id="1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noProof/>
        <w:color w:val="FAFAFA"/>
        <w:sz w:val="3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459105</wp:posOffset>
              </wp:positionV>
              <wp:extent cx="8100060" cy="1905"/>
              <wp:effectExtent l="0" t="0" r="0" b="0"/>
              <wp:wrapNone/>
              <wp:docPr id="14" name="直接连接符 5"/>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ln>
                      <a:effectLst/>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0.75pt;margin-top:36.15pt;height:0.15pt;width:637.8pt;z-index:251703296;mso-width-relative:page;mso-height-relative:page;" filled="f" stroked="t" coordsize="21600,21600" o:gfxdata="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ABpDnSAAAACAEAAA8AAAAAAAAA&#10;AQAgAAAAOAAAAGRycy9kb3ducmV2LnhtbFBLAQIUABQAAAAIAIdO4kAuT5M1yAEAAF8DAAAOAAAA&#10;AAAAAAEAIAAAADcBAABkcnMvZTJvRG9jLnhtbFBLBQYAAAAABgAGAFkBAABxBQAAAAA=&#10;">
              <v:fill on="f" focussize="0,0"/>
              <v:stroke weight="1.75pt" color="#005192" joinstyle="round"/>
              <v:imagedata o:title=""/>
              <o:lock v:ext="edit" aspectratio="f"/>
            </v:line>
          </w:pict>
        </mc:Fallback>
      </mc:AlternateContent>
    </w:r>
    <w:r>
      <w:rPr>
        <w:rFonts w:ascii="宋体" w:eastAsia="宋体" w:hAnsi="宋体" w:cs="宋体" w:hint="eastAsia"/>
        <w:b/>
        <w:bCs/>
        <w:color w:val="005192"/>
        <w:sz w:val="32"/>
      </w:rPr>
      <w:t>重庆市市场监督管理局行政</w:t>
    </w:r>
    <w:r>
      <w:rPr>
        <w:rFonts w:ascii="宋体" w:eastAsia="宋体" w:hAnsi="宋体" w:cs="宋体" w:hint="eastAsia"/>
        <w:b/>
        <w:bCs/>
        <w:color w:val="005192"/>
        <w:sz w:val="32"/>
        <w:szCs w:val="32"/>
        <w:lang w:eastAsia="zh-Hans"/>
      </w:rPr>
      <w:t>规范性文件</w:t>
    </w:r>
  </w:p>
  <w:p w:rsidR="00F14EAC" w:rsidRDefault="00F14EAC">
    <w:pPr>
      <w:pStyle w:val="a7"/>
      <w:pBdr>
        <w:bottom w:val="none" w:sz="0" w:space="1" w:color="auto"/>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AC" w:rsidRDefault="00F14EAC">
    <w:pPr>
      <w:pStyle w:val="a7"/>
      <w:pBdr>
        <w:bottom w:val="none" w:sz="0" w:space="1" w:color="auto"/>
      </w:pBdr>
      <w:jc w:val="left"/>
      <w:rPr>
        <w:rFonts w:ascii="宋体" w:eastAsia="宋体" w:hAnsi="宋体" w:cs="宋体"/>
        <w:b/>
        <w:bCs/>
        <w:color w:val="005192"/>
        <w:sz w:val="32"/>
      </w:rPr>
    </w:pPr>
  </w:p>
  <w:p w:rsidR="00F14EAC" w:rsidRDefault="00902EAF">
    <w:pPr>
      <w:pStyle w:val="a7"/>
      <w:pBdr>
        <w:bottom w:val="none" w:sz="0" w:space="1" w:color="auto"/>
      </w:pBdr>
      <w:jc w:val="left"/>
      <w:rPr>
        <w:rFonts w:ascii="宋体" w:eastAsia="宋体" w:hAnsi="宋体" w:cs="宋体"/>
        <w:b/>
        <w:bCs/>
        <w:color w:val="005192"/>
        <w:sz w:val="32"/>
        <w:szCs w:val="32"/>
        <w:lang w:eastAsia="zh-Hans"/>
      </w:rPr>
    </w:pPr>
    <w:r>
      <w:rPr>
        <w:noProof/>
        <w:color w:val="FAFAFA"/>
        <w:sz w:val="3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500380</wp:posOffset>
              </wp:positionV>
              <wp:extent cx="5615940" cy="1905"/>
              <wp:effectExtent l="0" t="0" r="0" b="0"/>
              <wp:wrapNone/>
              <wp:docPr id="19" name="直接连接符 5"/>
              <wp:cNvGraphicFramePr/>
              <a:graphic xmlns:a="http://schemas.openxmlformats.org/drawingml/2006/main">
                <a:graphicData uri="http://schemas.microsoft.com/office/word/2010/wordprocessingShape">
                  <wps:wsp>
                    <wps:cNvCnPr/>
                    <wps:spPr>
                      <a:xfrm>
                        <a:off x="0" y="0"/>
                        <a:ext cx="5615940" cy="1905"/>
                      </a:xfrm>
                      <a:prstGeom prst="line">
                        <a:avLst/>
                      </a:prstGeom>
                      <a:noFill/>
                      <a:ln w="22225" cap="flat" cmpd="sng" algn="ctr">
                        <a:solidFill>
                          <a:srgbClr val="005192"/>
                        </a:solidFill>
                        <a:prstDash val="solid"/>
                      </a:ln>
                      <a:effectLst/>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0.75pt;margin-top:39.4pt;height:0.15pt;width:442.2pt;z-index:251776000;mso-width-relative:page;mso-height-relative:page;" filled="f" stroked="t" coordsize="21600,21600" o:gfxdata="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GHnQQ7SAAAABwEAAA8AAAAAAAAA&#10;AQAgAAAAOAAAAGRycy9kb3ducmV2LnhtbFBLAQIUABQAAAAIAIdO4kCCx/qUyAEAAF8DAAAOAAAA&#10;AAAAAAEAIAAAADcBAABkcnMvZTJvRG9jLnhtbFBLBQYAAAAABgAGAFkBAABxBQAAAAA=&#10;">
              <v:fill on="f" focussize="0,0"/>
              <v:stroke weight="1.75pt" color="#005192" joinstyle="round"/>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5240" b="15240"/>
          <wp:docPr id="18"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ascii="宋体" w:eastAsia="宋体" w:hAnsi="宋体" w:cs="宋体" w:hint="eastAsia"/>
        <w:b/>
        <w:bCs/>
        <w:color w:val="005192"/>
        <w:sz w:val="32"/>
      </w:rPr>
      <w:t>重庆市市场监督管理局行政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5"/>
  <w:doNotHyphenateCaps/>
  <w:drawingGridHorizontalSpacing w:val="158"/>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9DBFDF2E"/>
    <w:rsid w:val="AF7C0869"/>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482B"/>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2EAF"/>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4EAC"/>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17EF28B7"/>
    <w:rsid w:val="1FFB6401"/>
    <w:rsid w:val="20264985"/>
    <w:rsid w:val="235B1C57"/>
    <w:rsid w:val="27854499"/>
    <w:rsid w:val="2C4959EC"/>
    <w:rsid w:val="2D0E53A7"/>
    <w:rsid w:val="320E1020"/>
    <w:rsid w:val="33546CB8"/>
    <w:rsid w:val="34DC344C"/>
    <w:rsid w:val="354B4E0A"/>
    <w:rsid w:val="3D0D5C68"/>
    <w:rsid w:val="3E350F4E"/>
    <w:rsid w:val="4577754E"/>
    <w:rsid w:val="4803217F"/>
    <w:rsid w:val="4B161173"/>
    <w:rsid w:val="4F405F41"/>
    <w:rsid w:val="50407AE2"/>
    <w:rsid w:val="50573B83"/>
    <w:rsid w:val="53087649"/>
    <w:rsid w:val="59166559"/>
    <w:rsid w:val="5B1648A8"/>
    <w:rsid w:val="5F7CDF5E"/>
    <w:rsid w:val="61C112D7"/>
    <w:rsid w:val="656869E7"/>
    <w:rsid w:val="6A7B75EC"/>
    <w:rsid w:val="7775555B"/>
    <w:rsid w:val="7E7535BB"/>
    <w:rsid w:val="7FAFF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方正仿宋_GBK"/>
      <w:kern w:val="2"/>
      <w:sz w:val="32"/>
    </w:rPr>
  </w:style>
  <w:style w:type="paragraph" w:styleId="1">
    <w:name w:val="heading 1"/>
    <w:basedOn w:val="a"/>
    <w:next w:val="a"/>
    <w:qFormat/>
    <w:locked/>
    <w:pPr>
      <w:keepNext/>
      <w:keepLines/>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next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character" w:styleId="a8">
    <w:name w:val="page number"/>
    <w:basedOn w:val="a0"/>
    <w:qFormat/>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character" w:customStyle="1" w:styleId="font51">
    <w:name w:val="font5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方正仿宋_GBK"/>
      <w:kern w:val="2"/>
      <w:sz w:val="32"/>
    </w:rPr>
  </w:style>
  <w:style w:type="paragraph" w:styleId="1">
    <w:name w:val="heading 1"/>
    <w:basedOn w:val="a"/>
    <w:next w:val="a"/>
    <w:qFormat/>
    <w:locked/>
    <w:pPr>
      <w:keepNext/>
      <w:keepLines/>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next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character" w:styleId="a8">
    <w:name w:val="page number"/>
    <w:basedOn w:val="a0"/>
    <w:qFormat/>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character" w:customStyle="1" w:styleId="font51">
    <w:name w:val="font5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1760</Words>
  <Characters>10037</Characters>
  <Application>Microsoft Office Word</Application>
  <DocSecurity>0</DocSecurity>
  <Lines>83</Lines>
  <Paragraphs>23</Paragraphs>
  <ScaleCrop>false</ScaleCrop>
  <Company>Lenovo (Beijing) Limited</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2</cp:revision>
  <cp:lastPrinted>2019-08-29T10:07:00Z</cp:lastPrinted>
  <dcterms:created xsi:type="dcterms:W3CDTF">2022-08-15T06:13:00Z</dcterms:created>
  <dcterms:modified xsi:type="dcterms:W3CDTF">2022-08-15T06:13:00Z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