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2E" w:rsidRDefault="0035302E" w:rsidP="000627D0">
      <w:pPr>
        <w:pStyle w:val="1"/>
        <w:spacing w:line="540" w:lineRule="exact"/>
        <w:ind w:firstLine="588"/>
        <w:rPr>
          <w:rFonts w:ascii="Times New Roman" w:hAnsi="Times New Roman"/>
        </w:rPr>
      </w:pPr>
    </w:p>
    <w:p w:rsidR="0035302E" w:rsidRDefault="0035302E" w:rsidP="000627D0">
      <w:pPr>
        <w:pStyle w:val="2"/>
        <w:spacing w:after="0" w:line="540" w:lineRule="exact"/>
      </w:pPr>
      <w:bookmarkStart w:id="0" w:name="zw"/>
      <w:bookmarkEnd w:id="0"/>
    </w:p>
    <w:p w:rsidR="0035302E" w:rsidRDefault="00465F7E" w:rsidP="000627D0">
      <w:pPr>
        <w:spacing w:line="540" w:lineRule="exact"/>
        <w:jc w:val="center"/>
        <w:rPr>
          <w:rFonts w:eastAsia="方正小标宋_GBK"/>
          <w:sz w:val="44"/>
          <w:szCs w:val="44"/>
        </w:rPr>
      </w:pPr>
      <w:r>
        <w:rPr>
          <w:rFonts w:eastAsia="方正小标宋_GBK"/>
          <w:sz w:val="44"/>
          <w:szCs w:val="44"/>
        </w:rPr>
        <w:t>重庆市市场监督管理局</w:t>
      </w:r>
      <w:r>
        <w:rPr>
          <w:rFonts w:eastAsia="方正小标宋_GBK"/>
          <w:sz w:val="44"/>
          <w:szCs w:val="44"/>
        </w:rPr>
        <w:t>等四部门</w:t>
      </w:r>
    </w:p>
    <w:p w:rsidR="0035302E" w:rsidRDefault="00465F7E" w:rsidP="000627D0">
      <w:pPr>
        <w:adjustRightInd w:val="0"/>
        <w:spacing w:line="540" w:lineRule="exact"/>
        <w:jc w:val="center"/>
        <w:outlineLvl w:val="0"/>
        <w:rPr>
          <w:rFonts w:eastAsia="方正小标宋_GBK"/>
          <w:bCs/>
          <w:sz w:val="44"/>
          <w:szCs w:val="44"/>
        </w:rPr>
      </w:pPr>
      <w:r>
        <w:rPr>
          <w:rFonts w:eastAsia="方正小标宋_GBK"/>
          <w:bCs/>
          <w:sz w:val="44"/>
          <w:szCs w:val="44"/>
        </w:rPr>
        <w:t>印发《关于推进落实食品药品领域惩罚性赔偿制度的实施办法（试行）》的通知</w:t>
      </w:r>
    </w:p>
    <w:p w:rsidR="0035302E" w:rsidRPr="000627D0" w:rsidRDefault="00465F7E" w:rsidP="000627D0">
      <w:pPr>
        <w:spacing w:line="600" w:lineRule="exact"/>
        <w:jc w:val="center"/>
        <w:rPr>
          <w:szCs w:val="32"/>
        </w:rPr>
      </w:pPr>
      <w:r w:rsidRPr="000627D0">
        <w:rPr>
          <w:rFonts w:hint="eastAsia"/>
          <w:szCs w:val="32"/>
        </w:rPr>
        <w:t>渝市监发</w:t>
      </w:r>
      <w:r w:rsidRPr="000627D0">
        <w:rPr>
          <w:rFonts w:hint="eastAsia"/>
          <w:color w:val="000000"/>
          <w:szCs w:val="32"/>
        </w:rPr>
        <w:t>〔</w:t>
      </w:r>
      <w:r w:rsidRPr="000627D0">
        <w:rPr>
          <w:rFonts w:hint="eastAsia"/>
          <w:color w:val="000000"/>
          <w:szCs w:val="32"/>
        </w:rPr>
        <w:t>202</w:t>
      </w:r>
      <w:r w:rsidRPr="000627D0">
        <w:rPr>
          <w:color w:val="000000"/>
          <w:szCs w:val="32"/>
        </w:rPr>
        <w:t>2</w:t>
      </w:r>
      <w:r w:rsidRPr="000627D0">
        <w:rPr>
          <w:rFonts w:hint="eastAsia"/>
          <w:color w:val="000000"/>
          <w:szCs w:val="32"/>
        </w:rPr>
        <w:t>〕</w:t>
      </w:r>
      <w:r w:rsidRPr="000627D0">
        <w:rPr>
          <w:color w:val="000000"/>
          <w:szCs w:val="32"/>
        </w:rPr>
        <w:t>52</w:t>
      </w:r>
      <w:r w:rsidRPr="000627D0">
        <w:rPr>
          <w:rFonts w:hint="eastAsia"/>
          <w:color w:val="000000"/>
          <w:szCs w:val="32"/>
        </w:rPr>
        <w:t>号</w:t>
      </w:r>
    </w:p>
    <w:p w:rsidR="0035302E" w:rsidRDefault="0035302E" w:rsidP="000627D0">
      <w:pPr>
        <w:spacing w:line="600" w:lineRule="exact"/>
        <w:rPr>
          <w:szCs w:val="32"/>
        </w:rPr>
      </w:pPr>
    </w:p>
    <w:p w:rsidR="0035302E" w:rsidRDefault="00465F7E" w:rsidP="000627D0">
      <w:pPr>
        <w:spacing w:line="600" w:lineRule="exact"/>
        <w:rPr>
          <w:szCs w:val="32"/>
        </w:rPr>
      </w:pPr>
      <w:r>
        <w:rPr>
          <w:szCs w:val="32"/>
        </w:rPr>
        <w:t>各区县（自治县）市场监管局，市市场监管局、市药监局各直属单位，各中、基层人民法院，各区县（自治县）消委会：</w:t>
      </w:r>
    </w:p>
    <w:p w:rsidR="0035302E" w:rsidRDefault="00465F7E" w:rsidP="000627D0">
      <w:pPr>
        <w:spacing w:line="600" w:lineRule="exact"/>
        <w:ind w:firstLineChars="200" w:firstLine="628"/>
        <w:rPr>
          <w:szCs w:val="32"/>
        </w:rPr>
      </w:pPr>
      <w:r>
        <w:rPr>
          <w:szCs w:val="32"/>
        </w:rPr>
        <w:t>为贯彻落实《国务院关于开展营商环境创新试点工作的意见》（国发〔</w:t>
      </w:r>
      <w:r>
        <w:rPr>
          <w:szCs w:val="32"/>
        </w:rPr>
        <w:t>2021</w:t>
      </w:r>
      <w:r>
        <w:rPr>
          <w:szCs w:val="32"/>
        </w:rPr>
        <w:t>〕</w:t>
      </w:r>
      <w:r>
        <w:rPr>
          <w:szCs w:val="32"/>
        </w:rPr>
        <w:t>24</w:t>
      </w:r>
      <w:r>
        <w:rPr>
          <w:szCs w:val="32"/>
        </w:rPr>
        <w:t>号），</w:t>
      </w:r>
      <w:r w:rsidRPr="000627D0">
        <w:rPr>
          <w:rFonts w:hint="eastAsia"/>
          <w:szCs w:val="32"/>
        </w:rPr>
        <w:t>进一步推进落实食品药品领域惩罚性赔偿制度，切实保障人民群众食品药品安全，维护消费者合法权益</w:t>
      </w:r>
      <w:r>
        <w:rPr>
          <w:kern w:val="0"/>
          <w:szCs w:val="32"/>
        </w:rPr>
        <w:t>，现将</w:t>
      </w:r>
      <w:r>
        <w:rPr>
          <w:szCs w:val="32"/>
        </w:rPr>
        <w:t>《关于推进落实食品药品领域惩罚性赔偿制度的实施办法（试行）》</w:t>
      </w:r>
      <w:r>
        <w:rPr>
          <w:kern w:val="0"/>
          <w:szCs w:val="32"/>
        </w:rPr>
        <w:t>印发给你们，</w:t>
      </w:r>
      <w:r>
        <w:rPr>
          <w:szCs w:val="32"/>
        </w:rPr>
        <w:t>请遵照执行。工作中遇到的情况和问题请及时报告。</w:t>
      </w:r>
      <w:bookmarkStart w:id="1" w:name="_GoBack"/>
      <w:bookmarkEnd w:id="1"/>
    </w:p>
    <w:p w:rsidR="0035302E" w:rsidRDefault="0035302E">
      <w:pPr>
        <w:pStyle w:val="1"/>
        <w:ind w:firstLine="588"/>
        <w:rPr>
          <w:rFonts w:ascii="Times New Roman" w:hAnsi="Times New Roman"/>
        </w:rPr>
      </w:pPr>
    </w:p>
    <w:tbl>
      <w:tblPr>
        <w:tblpPr w:leftFromText="180" w:rightFromText="180" w:vertAnchor="text" w:horzAnchor="page" w:tblpX="5600" w:tblpY="61"/>
        <w:tblOverlap w:val="never"/>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5"/>
      </w:tblGrid>
      <w:tr w:rsidR="0035302E" w:rsidTr="00465F7E">
        <w:trPr>
          <w:trHeight w:val="447"/>
        </w:trPr>
        <w:tc>
          <w:tcPr>
            <w:tcW w:w="4165" w:type="dxa"/>
            <w:tcBorders>
              <w:top w:val="nil"/>
              <w:left w:val="nil"/>
              <w:bottom w:val="nil"/>
              <w:right w:val="nil"/>
            </w:tcBorders>
            <w:shd w:val="clear" w:color="auto" w:fill="auto"/>
          </w:tcPr>
          <w:p w:rsidR="0035302E" w:rsidRPr="00465F7E" w:rsidRDefault="00465F7E" w:rsidP="00465F7E">
            <w:pPr>
              <w:pStyle w:val="1"/>
              <w:ind w:firstLineChars="0" w:firstLine="0"/>
              <w:jc w:val="distribute"/>
              <w:rPr>
                <w:rFonts w:ascii="Times New Roman" w:hAnsi="Times New Roman"/>
              </w:rPr>
            </w:pPr>
            <w:r w:rsidRPr="00465F7E">
              <w:rPr>
                <w:rFonts w:ascii="Times New Roman" w:hAnsi="Times New Roman"/>
                <w:szCs w:val="32"/>
              </w:rPr>
              <w:t>重庆市市场监督管理局</w:t>
            </w:r>
          </w:p>
        </w:tc>
      </w:tr>
      <w:tr w:rsidR="0035302E" w:rsidTr="00465F7E">
        <w:trPr>
          <w:trHeight w:val="447"/>
        </w:trPr>
        <w:tc>
          <w:tcPr>
            <w:tcW w:w="4165" w:type="dxa"/>
            <w:tcBorders>
              <w:top w:val="nil"/>
              <w:left w:val="nil"/>
              <w:bottom w:val="nil"/>
              <w:right w:val="nil"/>
            </w:tcBorders>
            <w:shd w:val="clear" w:color="auto" w:fill="auto"/>
          </w:tcPr>
          <w:p w:rsidR="0035302E" w:rsidRPr="00465F7E" w:rsidRDefault="00465F7E" w:rsidP="00465F7E">
            <w:pPr>
              <w:pStyle w:val="1"/>
              <w:ind w:firstLineChars="0" w:firstLine="0"/>
              <w:jc w:val="distribute"/>
              <w:rPr>
                <w:rFonts w:ascii="Times New Roman" w:hAnsi="Times New Roman"/>
              </w:rPr>
            </w:pPr>
            <w:r w:rsidRPr="00465F7E">
              <w:rPr>
                <w:rFonts w:ascii="Times New Roman" w:hAnsi="Times New Roman"/>
                <w:szCs w:val="32"/>
              </w:rPr>
              <w:t>重庆市高级人民法院</w:t>
            </w:r>
          </w:p>
        </w:tc>
      </w:tr>
      <w:tr w:rsidR="0035302E" w:rsidTr="00465F7E">
        <w:trPr>
          <w:trHeight w:val="447"/>
        </w:trPr>
        <w:tc>
          <w:tcPr>
            <w:tcW w:w="4165" w:type="dxa"/>
            <w:tcBorders>
              <w:top w:val="nil"/>
              <w:left w:val="nil"/>
              <w:bottom w:val="nil"/>
              <w:right w:val="nil"/>
            </w:tcBorders>
            <w:shd w:val="clear" w:color="auto" w:fill="auto"/>
          </w:tcPr>
          <w:p w:rsidR="0035302E" w:rsidRPr="00465F7E" w:rsidRDefault="00465F7E" w:rsidP="00465F7E">
            <w:pPr>
              <w:pStyle w:val="1"/>
              <w:ind w:firstLineChars="0" w:firstLine="0"/>
              <w:jc w:val="distribute"/>
              <w:rPr>
                <w:rFonts w:ascii="Times New Roman" w:hAnsi="Times New Roman"/>
              </w:rPr>
            </w:pPr>
            <w:r w:rsidRPr="00465F7E">
              <w:rPr>
                <w:rFonts w:ascii="Times New Roman" w:hAnsi="Times New Roman"/>
                <w:szCs w:val="32"/>
              </w:rPr>
              <w:t>重庆市药品监督管理局</w:t>
            </w:r>
          </w:p>
        </w:tc>
      </w:tr>
      <w:tr w:rsidR="0035302E" w:rsidTr="00465F7E">
        <w:trPr>
          <w:trHeight w:val="458"/>
        </w:trPr>
        <w:tc>
          <w:tcPr>
            <w:tcW w:w="4165" w:type="dxa"/>
            <w:tcBorders>
              <w:top w:val="nil"/>
              <w:left w:val="nil"/>
              <w:bottom w:val="nil"/>
              <w:right w:val="nil"/>
            </w:tcBorders>
            <w:shd w:val="clear" w:color="auto" w:fill="auto"/>
          </w:tcPr>
          <w:p w:rsidR="0035302E" w:rsidRPr="00465F7E" w:rsidRDefault="00465F7E" w:rsidP="00465F7E">
            <w:pPr>
              <w:pStyle w:val="1"/>
              <w:ind w:firstLineChars="0" w:firstLine="0"/>
              <w:jc w:val="distribute"/>
              <w:rPr>
                <w:rFonts w:ascii="Times New Roman" w:hAnsi="Times New Roman"/>
              </w:rPr>
            </w:pPr>
            <w:r w:rsidRPr="00465F7E">
              <w:rPr>
                <w:rFonts w:ascii="Times New Roman" w:hAnsi="Times New Roman"/>
                <w:szCs w:val="32"/>
              </w:rPr>
              <w:t>重庆市消费者权益保护委员会</w:t>
            </w:r>
          </w:p>
        </w:tc>
      </w:tr>
    </w:tbl>
    <w:p w:rsidR="0035302E" w:rsidRDefault="0035302E">
      <w:pPr>
        <w:pStyle w:val="1"/>
        <w:ind w:firstLine="588"/>
        <w:rPr>
          <w:rFonts w:ascii="Times New Roman" w:hAnsi="Times New Roman"/>
        </w:rPr>
      </w:pPr>
    </w:p>
    <w:p w:rsidR="0035302E" w:rsidRDefault="0035302E">
      <w:pPr>
        <w:spacing w:line="560" w:lineRule="exact"/>
        <w:ind w:firstLineChars="1200" w:firstLine="3766"/>
        <w:rPr>
          <w:szCs w:val="32"/>
        </w:rPr>
      </w:pPr>
    </w:p>
    <w:p w:rsidR="0035302E" w:rsidRDefault="0035302E">
      <w:pPr>
        <w:spacing w:line="560" w:lineRule="exact"/>
        <w:rPr>
          <w:szCs w:val="32"/>
        </w:rPr>
      </w:pPr>
    </w:p>
    <w:p w:rsidR="0035302E" w:rsidRDefault="0035302E">
      <w:pPr>
        <w:spacing w:line="240" w:lineRule="exact"/>
        <w:rPr>
          <w:szCs w:val="32"/>
        </w:rPr>
      </w:pPr>
    </w:p>
    <w:p w:rsidR="0035302E" w:rsidRDefault="00465F7E">
      <w:pPr>
        <w:spacing w:line="560" w:lineRule="exact"/>
        <w:ind w:firstLineChars="1500" w:firstLine="4708"/>
      </w:pPr>
      <w:r>
        <w:rPr>
          <w:szCs w:val="32"/>
        </w:rPr>
        <w:t>2022</w:t>
      </w:r>
      <w:r>
        <w:rPr>
          <w:szCs w:val="32"/>
        </w:rPr>
        <w:t>年</w:t>
      </w:r>
      <w:r>
        <w:rPr>
          <w:szCs w:val="32"/>
        </w:rPr>
        <w:t>5</w:t>
      </w:r>
      <w:r>
        <w:rPr>
          <w:szCs w:val="32"/>
        </w:rPr>
        <w:t>月</w:t>
      </w:r>
      <w:r>
        <w:rPr>
          <w:szCs w:val="32"/>
        </w:rPr>
        <w:t>25</w:t>
      </w:r>
      <w:r>
        <w:rPr>
          <w:szCs w:val="32"/>
        </w:rPr>
        <w:t>日</w:t>
      </w:r>
    </w:p>
    <w:p w:rsidR="0035302E" w:rsidRDefault="00465F7E">
      <w:pPr>
        <w:spacing w:line="560" w:lineRule="exact"/>
        <w:ind w:firstLine="648"/>
        <w:rPr>
          <w:szCs w:val="32"/>
        </w:rPr>
      </w:pPr>
      <w:r>
        <w:rPr>
          <w:szCs w:val="32"/>
        </w:rPr>
        <w:t>（此件公开发布）</w:t>
      </w:r>
    </w:p>
    <w:p w:rsidR="0035302E" w:rsidRDefault="00465F7E">
      <w:pPr>
        <w:pStyle w:val="1"/>
        <w:ind w:firstLine="588"/>
        <w:rPr>
          <w:rFonts w:ascii="Times New Roman" w:hAnsi="Times New Roman"/>
        </w:rPr>
      </w:pPr>
      <w:r>
        <w:rPr>
          <w:rFonts w:ascii="Times New Roman" w:hAnsi="Times New Roman"/>
        </w:rPr>
        <w:br w:type="page"/>
      </w:r>
    </w:p>
    <w:p w:rsidR="0035302E" w:rsidRDefault="00465F7E" w:rsidP="000627D0">
      <w:pPr>
        <w:spacing w:line="540" w:lineRule="exact"/>
        <w:jc w:val="center"/>
        <w:rPr>
          <w:rFonts w:eastAsia="方正小标宋_GBK"/>
          <w:sz w:val="44"/>
          <w:szCs w:val="44"/>
        </w:rPr>
      </w:pPr>
      <w:r>
        <w:rPr>
          <w:rFonts w:eastAsia="方正小标宋_GBK"/>
          <w:sz w:val="44"/>
          <w:szCs w:val="44"/>
        </w:rPr>
        <w:t>关于推进落实食品药品</w:t>
      </w:r>
      <w:r>
        <w:rPr>
          <w:rFonts w:eastAsia="方正小标宋_GBK"/>
          <w:color w:val="000000"/>
          <w:sz w:val="44"/>
          <w:szCs w:val="44"/>
        </w:rPr>
        <w:t>领域</w:t>
      </w:r>
      <w:r>
        <w:rPr>
          <w:rFonts w:eastAsia="方正小标宋_GBK"/>
          <w:sz w:val="44"/>
          <w:szCs w:val="44"/>
        </w:rPr>
        <w:t>惩罚性赔偿</w:t>
      </w:r>
    </w:p>
    <w:p w:rsidR="0035302E" w:rsidRDefault="00465F7E" w:rsidP="000627D0">
      <w:pPr>
        <w:spacing w:line="540" w:lineRule="exact"/>
        <w:jc w:val="center"/>
        <w:rPr>
          <w:rFonts w:eastAsia="方正小标宋_GBK"/>
          <w:sz w:val="44"/>
          <w:szCs w:val="44"/>
        </w:rPr>
      </w:pPr>
      <w:r>
        <w:rPr>
          <w:rFonts w:eastAsia="方正小标宋_GBK"/>
          <w:color w:val="000000"/>
          <w:sz w:val="44"/>
          <w:szCs w:val="44"/>
        </w:rPr>
        <w:t>制度的</w:t>
      </w:r>
      <w:r>
        <w:rPr>
          <w:rFonts w:eastAsia="方正小标宋_GBK"/>
          <w:sz w:val="44"/>
          <w:szCs w:val="44"/>
        </w:rPr>
        <w:t>实施办法（试行）</w:t>
      </w:r>
    </w:p>
    <w:p w:rsidR="0035302E" w:rsidRDefault="0035302E" w:rsidP="000627D0">
      <w:pPr>
        <w:pStyle w:val="a3"/>
        <w:spacing w:after="0" w:line="600" w:lineRule="exact"/>
        <w:ind w:firstLineChars="200" w:firstLine="628"/>
        <w:rPr>
          <w:rFonts w:eastAsia="黑体"/>
        </w:rPr>
      </w:pPr>
    </w:p>
    <w:p w:rsidR="0035302E" w:rsidRDefault="00465F7E" w:rsidP="000627D0">
      <w:pPr>
        <w:pStyle w:val="a3"/>
        <w:spacing w:after="0" w:line="600" w:lineRule="exact"/>
        <w:ind w:firstLineChars="200" w:firstLine="628"/>
      </w:pPr>
      <w:r>
        <w:rPr>
          <w:rFonts w:eastAsia="方正黑体_GBK"/>
        </w:rPr>
        <w:t>第一条</w:t>
      </w:r>
      <w:r>
        <w:rPr>
          <w:rFonts w:eastAsia="黑体"/>
        </w:rPr>
        <w:t xml:space="preserve">  </w:t>
      </w:r>
      <w:r>
        <w:t>为进一步推进落实食品药品领域惩罚性赔偿制度，切实保障人民群众食品药品安全，维护消费者合法权益，根据《</w:t>
      </w:r>
      <w:r>
        <w:rPr>
          <w:color w:val="000000"/>
        </w:rPr>
        <w:t>中华人民共和国</w:t>
      </w:r>
      <w:r>
        <w:t>食品安全法》《</w:t>
      </w:r>
      <w:r>
        <w:rPr>
          <w:color w:val="000000"/>
        </w:rPr>
        <w:t>中华人民共和国</w:t>
      </w:r>
      <w:r>
        <w:t>药品管理法》《中华人民共和国消费者权益保护法》《</w:t>
      </w:r>
      <w:r>
        <w:rPr>
          <w:color w:val="000000"/>
        </w:rPr>
        <w:t>中华人民共和国</w:t>
      </w:r>
      <w:r>
        <w:t>民事诉讼法》等法律规定和相关司法解释，结合我市实际，制定本办法。</w:t>
      </w:r>
    </w:p>
    <w:p w:rsidR="0035302E" w:rsidRDefault="00465F7E" w:rsidP="000627D0">
      <w:pPr>
        <w:pStyle w:val="a3"/>
        <w:spacing w:after="0" w:line="600" w:lineRule="exact"/>
        <w:ind w:firstLineChars="200" w:firstLine="628"/>
      </w:pPr>
      <w:r>
        <w:rPr>
          <w:rFonts w:eastAsia="方正黑体_GBK"/>
        </w:rPr>
        <w:t>第二条</w:t>
      </w:r>
      <w:r>
        <w:rPr>
          <w:rFonts w:eastAsia="黑体"/>
        </w:rPr>
        <w:t xml:space="preserve">  </w:t>
      </w:r>
      <w:r>
        <w:t>全市各级市场监督管理部门、药品监督管理部门、消费者权益保护委员会（以下统称各部门）和各级人民法院在行政调解、消费者组织调解和民事审判等活动中落实惩罚性赔偿制度，适用本办法。</w:t>
      </w:r>
    </w:p>
    <w:p w:rsidR="0035302E" w:rsidRDefault="00465F7E" w:rsidP="000627D0">
      <w:pPr>
        <w:pStyle w:val="a3"/>
        <w:spacing w:after="0" w:line="600" w:lineRule="exact"/>
        <w:ind w:firstLineChars="200" w:firstLine="628"/>
      </w:pPr>
      <w:r>
        <w:rPr>
          <w:rFonts w:eastAsia="方正黑体_GBK"/>
        </w:rPr>
        <w:t>第三条</w:t>
      </w:r>
      <w:r>
        <w:rPr>
          <w:rFonts w:eastAsia="方正黑体_GBK"/>
        </w:rPr>
        <w:t xml:space="preserve"> </w:t>
      </w:r>
      <w:r>
        <w:rPr>
          <w:rFonts w:eastAsia="黑体"/>
        </w:rPr>
        <w:t xml:space="preserve"> </w:t>
      </w:r>
      <w:r>
        <w:rPr>
          <w:kern w:val="0"/>
          <w:szCs w:val="32"/>
        </w:rPr>
        <w:t>消费者的合法权益受</w:t>
      </w:r>
      <w:r>
        <w:t>到损害，符合以下情形的，可以要求相关责任人依法承担惩罚性赔偿责任：</w:t>
      </w:r>
    </w:p>
    <w:p w:rsidR="0035302E" w:rsidRDefault="00465F7E" w:rsidP="000627D0">
      <w:pPr>
        <w:pStyle w:val="a3"/>
        <w:spacing w:after="0" w:line="600" w:lineRule="exact"/>
        <w:ind w:firstLineChars="200" w:firstLine="628"/>
      </w:pPr>
      <w:r>
        <w:t>（一）食品生产经营者生产不符合食品安全标准的食品或者经营明知是不符合食品安全标准的食品；</w:t>
      </w:r>
    </w:p>
    <w:p w:rsidR="0035302E" w:rsidRDefault="00465F7E" w:rsidP="000627D0">
      <w:pPr>
        <w:pStyle w:val="a3"/>
        <w:spacing w:after="0" w:line="600" w:lineRule="exact"/>
        <w:ind w:firstLineChars="200" w:firstLine="628"/>
      </w:pPr>
      <w:r>
        <w:t>（二）药品生产经营者（含药品上市许可持有人、药品生产企业、药品经营企业和医疗机构）生产假药、劣药或者明知是假药、劣药仍然销售、使用的。</w:t>
      </w:r>
    </w:p>
    <w:p w:rsidR="0035302E" w:rsidRDefault="00465F7E" w:rsidP="000627D0">
      <w:pPr>
        <w:pStyle w:val="a3"/>
        <w:spacing w:after="0" w:line="600" w:lineRule="exact"/>
        <w:ind w:firstLineChars="200" w:firstLine="628"/>
        <w:rPr>
          <w:szCs w:val="32"/>
        </w:rPr>
      </w:pPr>
      <w:r>
        <w:rPr>
          <w:szCs w:val="32"/>
        </w:rPr>
        <w:lastRenderedPageBreak/>
        <w:t>前款规定的食品药品，符合以下情形的，消费者主张惩罚性赔偿，人民法院和各部门不予支持：</w:t>
      </w:r>
    </w:p>
    <w:p w:rsidR="0035302E" w:rsidRDefault="00465F7E" w:rsidP="000627D0">
      <w:pPr>
        <w:pStyle w:val="a3"/>
        <w:numPr>
          <w:ilvl w:val="0"/>
          <w:numId w:val="1"/>
        </w:numPr>
        <w:spacing w:after="0" w:line="600" w:lineRule="exact"/>
        <w:ind w:firstLineChars="200" w:firstLine="628"/>
        <w:rPr>
          <w:szCs w:val="32"/>
        </w:rPr>
      </w:pPr>
      <w:r>
        <w:rPr>
          <w:szCs w:val="32"/>
        </w:rPr>
        <w:t>食品的标签、说明书存在不影响食品安全且不会对消费者造成误导的瑕疵；</w:t>
      </w:r>
    </w:p>
    <w:p w:rsidR="0035302E" w:rsidRDefault="00465F7E" w:rsidP="000627D0">
      <w:pPr>
        <w:pStyle w:val="a3"/>
        <w:numPr>
          <w:ilvl w:val="0"/>
          <w:numId w:val="1"/>
        </w:numPr>
        <w:spacing w:after="0" w:line="600" w:lineRule="exact"/>
        <w:ind w:firstLineChars="200" w:firstLine="628"/>
        <w:rPr>
          <w:szCs w:val="32"/>
        </w:rPr>
      </w:pPr>
      <w:r>
        <w:rPr>
          <w:szCs w:val="32"/>
        </w:rPr>
        <w:t>符合《关于〈中华人民共和国药品管理法〉第一百一十七条第二款适用原则的指导意见》（药监综药注函〔</w:t>
      </w:r>
      <w:r>
        <w:rPr>
          <w:szCs w:val="32"/>
        </w:rPr>
        <w:t>2022</w:t>
      </w:r>
      <w:r>
        <w:rPr>
          <w:szCs w:val="32"/>
        </w:rPr>
        <w:t>〕</w:t>
      </w:r>
      <w:r>
        <w:rPr>
          <w:szCs w:val="32"/>
        </w:rPr>
        <w:t>87</w:t>
      </w:r>
      <w:r>
        <w:rPr>
          <w:szCs w:val="32"/>
        </w:rPr>
        <w:t>号）规定不影响安全性、有效性的中药饮片。</w:t>
      </w:r>
    </w:p>
    <w:p w:rsidR="0035302E" w:rsidRDefault="00465F7E" w:rsidP="000627D0">
      <w:pPr>
        <w:pStyle w:val="a3"/>
        <w:spacing w:after="0" w:line="600" w:lineRule="exact"/>
        <w:ind w:firstLineChars="200" w:firstLine="628"/>
      </w:pPr>
      <w:r>
        <w:rPr>
          <w:rFonts w:eastAsia="方正黑体_GBK"/>
        </w:rPr>
        <w:t>第四条</w:t>
      </w:r>
      <w:r>
        <w:rPr>
          <w:rFonts w:eastAsia="黑体"/>
        </w:rPr>
        <w:t xml:space="preserve">  </w:t>
      </w:r>
      <w:r>
        <w:t>对符合惩罚性赔偿条件的情形，消费者认为同时构成消费欺诈的，有权选择依据《中华人民共和国食品安全法》第一百四十八条第二款、《中华人民共和国药品管理法》第一百四十四条第三款或者《中华人民共和国消费者权益</w:t>
      </w:r>
      <w:r>
        <w:t>保护法》第五十五条第一款规定主张相关责任人承担惩罚性赔偿责任。</w:t>
      </w:r>
    </w:p>
    <w:p w:rsidR="0035302E" w:rsidRDefault="00465F7E" w:rsidP="000627D0">
      <w:pPr>
        <w:shd w:val="clear" w:color="auto" w:fill="FFFFFF"/>
        <w:spacing w:line="600" w:lineRule="exact"/>
        <w:ind w:firstLineChars="200" w:firstLine="628"/>
      </w:pPr>
      <w:r>
        <w:rPr>
          <w:rFonts w:eastAsia="方正黑体_GBK"/>
        </w:rPr>
        <w:t>第五条</w:t>
      </w:r>
      <w:r>
        <w:rPr>
          <w:rFonts w:eastAsia="黑体"/>
        </w:rPr>
        <w:t xml:space="preserve">  </w:t>
      </w:r>
      <w:r>
        <w:rPr>
          <w:kern w:val="0"/>
          <w:szCs w:val="32"/>
        </w:rPr>
        <w:t>以下市场主体未履行法定义务，使消费者的合法权益受</w:t>
      </w:r>
      <w:r>
        <w:t>到损害，消费者主张其连带承担惩罚性赔偿责任的，人民法院应予支持：</w:t>
      </w:r>
    </w:p>
    <w:p w:rsidR="0035302E" w:rsidRDefault="00465F7E" w:rsidP="000627D0">
      <w:pPr>
        <w:shd w:val="clear" w:color="auto" w:fill="FFFFFF"/>
        <w:spacing w:line="600" w:lineRule="exact"/>
        <w:ind w:firstLineChars="200" w:firstLine="628"/>
      </w:pPr>
      <w:r>
        <w:t>（一）集中交易市场的开办者、柜台出租者和展销会举办者违反《中华人民共和国食品安全法》第六十一条规定的；</w:t>
      </w:r>
    </w:p>
    <w:p w:rsidR="0035302E" w:rsidRDefault="00465F7E" w:rsidP="000627D0">
      <w:pPr>
        <w:shd w:val="clear" w:color="auto" w:fill="FFFFFF"/>
        <w:spacing w:line="600" w:lineRule="exact"/>
        <w:ind w:firstLineChars="200" w:firstLine="628"/>
        <w:rPr>
          <w:kern w:val="0"/>
          <w:szCs w:val="32"/>
        </w:rPr>
      </w:pPr>
      <w:r>
        <w:rPr>
          <w:kern w:val="0"/>
          <w:szCs w:val="32"/>
        </w:rPr>
        <w:t>（二）网络食品交易第三方平台违反《中华人民共和国食品安全法》第六十二条规定的；</w:t>
      </w:r>
    </w:p>
    <w:p w:rsidR="0035302E" w:rsidRDefault="00465F7E" w:rsidP="000627D0">
      <w:pPr>
        <w:shd w:val="clear" w:color="auto" w:fill="FFFFFF"/>
        <w:spacing w:line="600" w:lineRule="exact"/>
        <w:ind w:firstLineChars="200" w:firstLine="628"/>
        <w:rPr>
          <w:kern w:val="0"/>
          <w:szCs w:val="32"/>
        </w:rPr>
      </w:pPr>
      <w:r>
        <w:rPr>
          <w:kern w:val="0"/>
          <w:szCs w:val="32"/>
        </w:rPr>
        <w:t>（三）药品上市许可持有人为境外企业的，应当由其指定的</w:t>
      </w:r>
      <w:r>
        <w:rPr>
          <w:kern w:val="0"/>
          <w:szCs w:val="32"/>
        </w:rPr>
        <w:lastRenderedPageBreak/>
        <w:t>在中国境内的企业法人履行药品上市许可持有人义务，与药品上市许可持有人承担连带责任。</w:t>
      </w:r>
    </w:p>
    <w:p w:rsidR="0035302E" w:rsidRDefault="00465F7E" w:rsidP="000627D0">
      <w:pPr>
        <w:spacing w:line="600" w:lineRule="exact"/>
        <w:ind w:firstLineChars="200" w:firstLine="628"/>
        <w:rPr>
          <w:kern w:val="0"/>
          <w:szCs w:val="32"/>
        </w:rPr>
      </w:pPr>
      <w:r>
        <w:rPr>
          <w:rFonts w:eastAsia="方正黑体_GBK"/>
        </w:rPr>
        <w:t>第六</w:t>
      </w:r>
      <w:r>
        <w:rPr>
          <w:rFonts w:eastAsia="方正黑体_GBK"/>
        </w:rPr>
        <w:t>条</w:t>
      </w:r>
      <w:r>
        <w:rPr>
          <w:rFonts w:eastAsia="黑体"/>
        </w:rPr>
        <w:t xml:space="preserve">  </w:t>
      </w:r>
      <w:r>
        <w:t>各部门应当积极推行先付赔偿制度，</w:t>
      </w:r>
      <w:r>
        <w:rPr>
          <w:szCs w:val="32"/>
        </w:rPr>
        <w:t>鼓励、引导</w:t>
      </w:r>
      <w:r>
        <w:rPr>
          <w:kern w:val="0"/>
          <w:szCs w:val="32"/>
        </w:rPr>
        <w:t>商场、市场开办者和展销会举办者、电子商务平台经营者（以下统称市场开办者）向消费者做出明确承诺，消费者合法权益受到市场开办者场内（平台内）经营者侵害时，可以请求市场开办者先行进行赔偿，赔偿范围应包括惩罚性赔偿。</w:t>
      </w:r>
    </w:p>
    <w:p w:rsidR="0035302E" w:rsidRDefault="00465F7E" w:rsidP="000627D0">
      <w:pPr>
        <w:spacing w:line="600" w:lineRule="exact"/>
        <w:ind w:firstLineChars="200" w:firstLine="628"/>
        <w:rPr>
          <w:szCs w:val="32"/>
        </w:rPr>
      </w:pPr>
      <w:r>
        <w:rPr>
          <w:rFonts w:eastAsia="方正黑体_GBK"/>
          <w:szCs w:val="32"/>
        </w:rPr>
        <w:t>第七条</w:t>
      </w:r>
      <w:r>
        <w:rPr>
          <w:rFonts w:eastAsia="黑体"/>
          <w:szCs w:val="32"/>
        </w:rPr>
        <w:t xml:space="preserve">  </w:t>
      </w:r>
      <w:r>
        <w:rPr>
          <w:szCs w:val="32"/>
        </w:rPr>
        <w:t>消费者提起</w:t>
      </w:r>
      <w:r>
        <w:rPr>
          <w:kern w:val="0"/>
          <w:szCs w:val="32"/>
        </w:rPr>
        <w:t>诉讼，向市场开办者</w:t>
      </w:r>
      <w:r>
        <w:rPr>
          <w:szCs w:val="32"/>
        </w:rPr>
        <w:t>主张</w:t>
      </w:r>
      <w:r>
        <w:t>在其</w:t>
      </w:r>
      <w:r>
        <w:rPr>
          <w:kern w:val="0"/>
          <w:szCs w:val="32"/>
        </w:rPr>
        <w:t>承诺范围内承担惩罚性赔偿责任，</w:t>
      </w:r>
      <w:r>
        <w:rPr>
          <w:szCs w:val="32"/>
        </w:rPr>
        <w:t>因查明事实需要，人民法院可以依职权追加食品药品生产经营者等作为第三人参加诉讼。</w:t>
      </w:r>
    </w:p>
    <w:p w:rsidR="0035302E" w:rsidRDefault="00465F7E" w:rsidP="000627D0">
      <w:pPr>
        <w:spacing w:line="600" w:lineRule="exact"/>
        <w:ind w:firstLineChars="200" w:firstLine="628"/>
        <w:rPr>
          <w:kern w:val="0"/>
          <w:szCs w:val="32"/>
        </w:rPr>
      </w:pPr>
      <w:r>
        <w:rPr>
          <w:rFonts w:eastAsia="方正黑体_GBK"/>
          <w:kern w:val="0"/>
          <w:szCs w:val="32"/>
        </w:rPr>
        <w:t>第八条</w:t>
      </w:r>
      <w:r>
        <w:rPr>
          <w:rFonts w:eastAsia="黑体"/>
          <w:kern w:val="0"/>
          <w:szCs w:val="32"/>
        </w:rPr>
        <w:t xml:space="preserve">  </w:t>
      </w:r>
      <w:r>
        <w:rPr>
          <w:kern w:val="0"/>
          <w:szCs w:val="32"/>
        </w:rPr>
        <w:t>市场开办者按照承诺向消费者赔偿后，根据其与场内（平台内）经营者的约定，向场内（平台内）经营者进行追偿的，人民法院应当予以支持。</w:t>
      </w:r>
    </w:p>
    <w:p w:rsidR="0035302E" w:rsidRDefault="00465F7E" w:rsidP="000627D0">
      <w:pPr>
        <w:spacing w:line="600" w:lineRule="exact"/>
        <w:ind w:firstLineChars="200" w:firstLine="628"/>
        <w:rPr>
          <w:kern w:val="0"/>
          <w:szCs w:val="32"/>
        </w:rPr>
      </w:pPr>
      <w:r>
        <w:rPr>
          <w:rFonts w:eastAsia="方正黑体_GBK"/>
          <w:kern w:val="0"/>
          <w:szCs w:val="32"/>
        </w:rPr>
        <w:t>第九条</w:t>
      </w:r>
      <w:r>
        <w:rPr>
          <w:rFonts w:eastAsia="方正黑体_GBK"/>
          <w:kern w:val="0"/>
          <w:szCs w:val="32"/>
        </w:rPr>
        <w:t xml:space="preserve"> </w:t>
      </w:r>
      <w:r>
        <w:rPr>
          <w:rFonts w:eastAsia="黑体"/>
          <w:kern w:val="0"/>
          <w:szCs w:val="32"/>
        </w:rPr>
        <w:t xml:space="preserve"> </w:t>
      </w:r>
      <w:r>
        <w:rPr>
          <w:kern w:val="0"/>
          <w:szCs w:val="32"/>
        </w:rPr>
        <w:t>市场开办者与场内（平台内）经营者事前达成合意，二者共同作出承诺的赔偿标准高于法定惩罚性赔偿标准，消费者主张按照承诺赔偿的，各部门在调解中、人民法院在审判中可以予以支持。</w:t>
      </w:r>
    </w:p>
    <w:p w:rsidR="0035302E" w:rsidRDefault="00465F7E" w:rsidP="000627D0">
      <w:pPr>
        <w:pStyle w:val="a3"/>
        <w:spacing w:after="0" w:line="600" w:lineRule="exact"/>
        <w:ind w:firstLineChars="200" w:firstLine="628"/>
        <w:rPr>
          <w:kern w:val="0"/>
          <w:szCs w:val="32"/>
        </w:rPr>
      </w:pPr>
      <w:r>
        <w:rPr>
          <w:kern w:val="0"/>
          <w:szCs w:val="32"/>
        </w:rPr>
        <w:t>食品经营者和药品经营者向消费者作出承诺，其承诺的赔偿标准高于法定惩罚性赔偿标准，消费者主张按照其承诺进行赔偿的，各部门在调解中、人民法院在审判中应当依法予以支持。</w:t>
      </w:r>
    </w:p>
    <w:p w:rsidR="0035302E" w:rsidRDefault="00465F7E" w:rsidP="000627D0">
      <w:pPr>
        <w:pStyle w:val="a3"/>
        <w:spacing w:after="0" w:line="600" w:lineRule="exact"/>
        <w:ind w:firstLineChars="200" w:firstLine="628"/>
      </w:pPr>
      <w:r>
        <w:rPr>
          <w:rFonts w:eastAsia="方正黑体_GBK"/>
          <w:kern w:val="0"/>
          <w:szCs w:val="32"/>
        </w:rPr>
        <w:lastRenderedPageBreak/>
        <w:t>第十条</w:t>
      </w:r>
      <w:r>
        <w:rPr>
          <w:rFonts w:eastAsia="黑体"/>
          <w:kern w:val="0"/>
          <w:szCs w:val="32"/>
        </w:rPr>
        <w:t xml:space="preserve">  </w:t>
      </w:r>
      <w:r>
        <w:rPr>
          <w:kern w:val="0"/>
          <w:szCs w:val="32"/>
        </w:rPr>
        <w:t>消费者和赔偿责任人经依法设立的</w:t>
      </w:r>
      <w:r>
        <w:rPr>
          <w:kern w:val="0"/>
          <w:szCs w:val="32"/>
        </w:rPr>
        <w:t>调解组织调解</w:t>
      </w:r>
      <w:r>
        <w:t>达成惩罚性赔偿调解协议，申请人民法院司法确认，经审查符合法律规定的，人民法院应当依法</w:t>
      </w:r>
      <w:r>
        <w:rPr>
          <w:kern w:val="0"/>
          <w:szCs w:val="32"/>
        </w:rPr>
        <w:t>裁定</w:t>
      </w:r>
      <w:r>
        <w:t>。</w:t>
      </w:r>
    </w:p>
    <w:p w:rsidR="0035302E" w:rsidRDefault="00465F7E" w:rsidP="000627D0">
      <w:pPr>
        <w:pStyle w:val="a3"/>
        <w:spacing w:after="0" w:line="600" w:lineRule="exact"/>
        <w:ind w:firstLineChars="200" w:firstLine="628"/>
      </w:pPr>
      <w:r>
        <w:t>当事人拒绝履行或者未全部履行经司法确认的惩罚性赔偿调解协议，消费者可以向人民法院申请强制执行。</w:t>
      </w:r>
    </w:p>
    <w:p w:rsidR="0035302E" w:rsidRDefault="00465F7E" w:rsidP="000627D0">
      <w:pPr>
        <w:pStyle w:val="a3"/>
        <w:spacing w:after="0" w:line="600" w:lineRule="exact"/>
        <w:ind w:firstLineChars="200" w:firstLine="628"/>
        <w:rPr>
          <w:szCs w:val="32"/>
        </w:rPr>
      </w:pPr>
      <w:r>
        <w:rPr>
          <w:rFonts w:eastAsia="方正黑体_GBK"/>
          <w:szCs w:val="32"/>
        </w:rPr>
        <w:t>第十一条</w:t>
      </w:r>
      <w:r>
        <w:rPr>
          <w:rFonts w:eastAsia="黑体"/>
          <w:szCs w:val="32"/>
        </w:rPr>
        <w:t xml:space="preserve">  </w:t>
      </w:r>
      <w:r>
        <w:rPr>
          <w:szCs w:val="32"/>
        </w:rPr>
        <w:t>各级消费者权益保护委员会可以通过支持消费者集体诉讼的方式，支持消费者提起食品药品惩罚性赔偿诉讼。</w:t>
      </w:r>
    </w:p>
    <w:p w:rsidR="0035302E" w:rsidRDefault="00465F7E" w:rsidP="000627D0">
      <w:pPr>
        <w:pStyle w:val="a3"/>
        <w:spacing w:after="0" w:line="600" w:lineRule="exact"/>
        <w:ind w:firstLineChars="200" w:firstLine="628"/>
        <w:rPr>
          <w:szCs w:val="32"/>
        </w:rPr>
      </w:pPr>
      <w:r>
        <w:rPr>
          <w:szCs w:val="32"/>
        </w:rPr>
        <w:t>对食品、药品生产经营者侵害众多不特定消费者合法权益或者危及消费者人身、财产安全危险等损害社会公共利益的行为，重庆市消费者权益保护委员会可以依法提起消费民事公益诉讼，向食品、药品生产经营者主张惩罚性赔偿。</w:t>
      </w:r>
    </w:p>
    <w:p w:rsidR="0035302E" w:rsidRDefault="00465F7E" w:rsidP="000627D0">
      <w:pPr>
        <w:pStyle w:val="a3"/>
        <w:spacing w:after="0" w:line="600" w:lineRule="exact"/>
        <w:ind w:firstLineChars="200" w:firstLine="628"/>
        <w:rPr>
          <w:szCs w:val="32"/>
        </w:rPr>
      </w:pPr>
      <w:r>
        <w:rPr>
          <w:rFonts w:eastAsia="方正黑体_GBK"/>
          <w:szCs w:val="32"/>
        </w:rPr>
        <w:t>第十二条</w:t>
      </w:r>
      <w:r>
        <w:rPr>
          <w:rFonts w:eastAsia="方正黑体_GBK"/>
          <w:szCs w:val="32"/>
        </w:rPr>
        <w:t xml:space="preserve"> </w:t>
      </w:r>
      <w:r>
        <w:rPr>
          <w:rFonts w:eastAsia="黑体"/>
          <w:szCs w:val="32"/>
        </w:rPr>
        <w:t xml:space="preserve"> </w:t>
      </w:r>
      <w:r>
        <w:rPr>
          <w:szCs w:val="32"/>
        </w:rPr>
        <w:t>各级消费者权益保护委员会、人民法院在纠纷调解、审判执行中发现生产经营不符合食品安全标准或假劣药品的违法行为线索的，应当及时通报同级市场监督管理部门或者药品监督管理部门依法查处。</w:t>
      </w:r>
    </w:p>
    <w:p w:rsidR="0035302E" w:rsidRDefault="00465F7E" w:rsidP="000627D0">
      <w:pPr>
        <w:pStyle w:val="a3"/>
        <w:spacing w:after="0" w:line="600" w:lineRule="exact"/>
        <w:ind w:firstLineChars="200" w:firstLine="628"/>
        <w:rPr>
          <w:szCs w:val="32"/>
        </w:rPr>
      </w:pPr>
      <w:r>
        <w:rPr>
          <w:rFonts w:eastAsia="方正黑体_GBK"/>
          <w:szCs w:val="32"/>
        </w:rPr>
        <w:t>第十三条</w:t>
      </w:r>
      <w:r>
        <w:rPr>
          <w:rFonts w:eastAsia="黑体"/>
          <w:szCs w:val="32"/>
        </w:rPr>
        <w:t xml:space="preserve">  </w:t>
      </w:r>
      <w:r>
        <w:rPr>
          <w:szCs w:val="32"/>
        </w:rPr>
        <w:t>食品、药品生产经营者实施违法行为，侵犯消费者合法权益，市场监督管理部门或者药品监督管理部门对当事人实施行政处罚过程中，当事人积极履行惩罚性赔偿责任的，可以酌情从轻或者减轻处罚。</w:t>
      </w:r>
    </w:p>
    <w:p w:rsidR="0035302E" w:rsidRDefault="00465F7E" w:rsidP="000627D0">
      <w:pPr>
        <w:pStyle w:val="a3"/>
        <w:spacing w:after="0" w:line="600" w:lineRule="exact"/>
        <w:ind w:firstLineChars="200" w:firstLine="628"/>
        <w:rPr>
          <w:szCs w:val="32"/>
        </w:rPr>
      </w:pPr>
      <w:r>
        <w:rPr>
          <w:rFonts w:eastAsia="方正黑体_GBK"/>
          <w:szCs w:val="32"/>
        </w:rPr>
        <w:t>第十四条</w:t>
      </w:r>
      <w:r>
        <w:rPr>
          <w:rFonts w:eastAsia="黑体"/>
          <w:szCs w:val="32"/>
        </w:rPr>
        <w:t xml:space="preserve">  </w:t>
      </w:r>
      <w:r>
        <w:rPr>
          <w:szCs w:val="32"/>
        </w:rPr>
        <w:t>食品、药品生产经营者实施违法行为，侵犯消费</w:t>
      </w:r>
      <w:r>
        <w:rPr>
          <w:szCs w:val="32"/>
        </w:rPr>
        <w:lastRenderedPageBreak/>
        <w:t>者合法权益，市场监督管理部门或者药品监督管理部门对当事人实施行政处罚后，符合</w:t>
      </w:r>
      <w:r>
        <w:rPr>
          <w:szCs w:val="32"/>
        </w:rPr>
        <w:t>条件的，依法列入市场监督管理严重违法失信名单。</w:t>
      </w:r>
      <w:r>
        <w:rPr>
          <w:szCs w:val="32"/>
        </w:rPr>
        <w:t xml:space="preserve"> </w:t>
      </w:r>
    </w:p>
    <w:p w:rsidR="0035302E" w:rsidRDefault="00465F7E" w:rsidP="000627D0">
      <w:pPr>
        <w:pStyle w:val="a3"/>
        <w:spacing w:after="0" w:line="600" w:lineRule="exact"/>
        <w:ind w:firstLineChars="200" w:firstLine="628"/>
        <w:rPr>
          <w:szCs w:val="32"/>
        </w:rPr>
      </w:pPr>
      <w:r>
        <w:rPr>
          <w:szCs w:val="32"/>
        </w:rPr>
        <w:t>市场监督管理部门或者药品监督管理部门可以将当事人是否履行惩罚性赔偿责任，作为当事人能否提前移出市场监督管理严重违法失信名单的参考因素之一。</w:t>
      </w:r>
    </w:p>
    <w:p w:rsidR="0035302E" w:rsidRDefault="00465F7E" w:rsidP="000627D0">
      <w:pPr>
        <w:pStyle w:val="a3"/>
        <w:spacing w:after="0" w:line="600" w:lineRule="exact"/>
        <w:ind w:firstLineChars="200" w:firstLine="628"/>
        <w:rPr>
          <w:szCs w:val="32"/>
        </w:rPr>
      </w:pPr>
      <w:r>
        <w:rPr>
          <w:szCs w:val="32"/>
        </w:rPr>
        <w:t>对拒不履行生效法律文书的被执行人，人民法院应当依法采取限制消费措施，符合条件的，依法纳入失信被执行人名单。</w:t>
      </w:r>
    </w:p>
    <w:p w:rsidR="0035302E" w:rsidRDefault="00465F7E" w:rsidP="000627D0">
      <w:pPr>
        <w:pStyle w:val="a3"/>
        <w:spacing w:after="0" w:line="600" w:lineRule="exact"/>
        <w:ind w:firstLineChars="200" w:firstLine="628"/>
        <w:rPr>
          <w:szCs w:val="32"/>
        </w:rPr>
      </w:pPr>
      <w:r>
        <w:rPr>
          <w:rFonts w:eastAsia="方正黑体_GBK"/>
          <w:szCs w:val="32"/>
        </w:rPr>
        <w:t>第十五条</w:t>
      </w:r>
      <w:r>
        <w:rPr>
          <w:rFonts w:eastAsia="黑体"/>
          <w:szCs w:val="32"/>
        </w:rPr>
        <w:t xml:space="preserve">  </w:t>
      </w:r>
      <w:r>
        <w:rPr>
          <w:szCs w:val="32"/>
        </w:rPr>
        <w:t>各部门和各级人民法院在开展推进落实惩罚性赔偿制度工作中，发现追索惩罚性赔偿的索赔人涉嫌诈骗等违反治安管理法律法规或者犯罪线索的，依法移送公安机关。</w:t>
      </w:r>
    </w:p>
    <w:p w:rsidR="0035302E" w:rsidRDefault="00465F7E" w:rsidP="000627D0">
      <w:pPr>
        <w:pStyle w:val="a3"/>
        <w:spacing w:after="0" w:line="600" w:lineRule="exact"/>
        <w:ind w:firstLineChars="200" w:firstLine="628"/>
      </w:pPr>
      <w:r>
        <w:rPr>
          <w:rFonts w:eastAsia="方正黑体_GBK"/>
          <w:szCs w:val="32"/>
        </w:rPr>
        <w:t>第十六条</w:t>
      </w:r>
      <w:r>
        <w:rPr>
          <w:rFonts w:eastAsia="黑体"/>
          <w:szCs w:val="32"/>
        </w:rPr>
        <w:t xml:space="preserve">  </w:t>
      </w:r>
      <w:r>
        <w:rPr>
          <w:szCs w:val="32"/>
        </w:rPr>
        <w:t>各部门和各级人民法院应当</w:t>
      </w:r>
      <w:r>
        <w:t>建立健全在食品药品</w:t>
      </w:r>
      <w:r>
        <w:rPr>
          <w:szCs w:val="32"/>
        </w:rPr>
        <w:t>惩罚性赔偿</w:t>
      </w:r>
      <w:r>
        <w:t>信息共享、线索移送、技术支持、典型案例发布等方面的协作机制，强化普法宣传</w:t>
      </w:r>
      <w:r>
        <w:rPr>
          <w:szCs w:val="32"/>
        </w:rPr>
        <w:t>，提高消费者维权意识，促进</w:t>
      </w:r>
      <w:r>
        <w:t>生产经营者自觉履行食品药品安全主体责任。</w:t>
      </w:r>
    </w:p>
    <w:p w:rsidR="0035302E" w:rsidRDefault="00465F7E" w:rsidP="000627D0">
      <w:pPr>
        <w:spacing w:line="600" w:lineRule="exact"/>
        <w:ind w:firstLineChars="200" w:firstLine="628"/>
      </w:pPr>
      <w:r>
        <w:rPr>
          <w:rFonts w:eastAsia="方正黑体_GBK"/>
        </w:rPr>
        <w:t>第十七条</w:t>
      </w:r>
      <w:r>
        <w:rPr>
          <w:rFonts w:eastAsia="黑体"/>
        </w:rPr>
        <w:t xml:space="preserve">  </w:t>
      </w:r>
      <w:r>
        <w:t>本办法自发布之日起实施</w:t>
      </w:r>
      <w:r>
        <w:t>。</w:t>
      </w:r>
    </w:p>
    <w:p w:rsidR="0035302E" w:rsidRDefault="0035302E"/>
    <w:p w:rsidR="0035302E" w:rsidRDefault="0035302E">
      <w:pPr>
        <w:spacing w:line="570" w:lineRule="exact"/>
        <w:ind w:firstLineChars="100" w:firstLine="274"/>
        <w:rPr>
          <w:sz w:val="28"/>
          <w:szCs w:val="28"/>
        </w:rPr>
      </w:pPr>
    </w:p>
    <w:p w:rsidR="0035302E" w:rsidRDefault="0035302E">
      <w:pPr>
        <w:spacing w:line="570" w:lineRule="exact"/>
        <w:rPr>
          <w:sz w:val="28"/>
          <w:szCs w:val="28"/>
        </w:rPr>
      </w:pPr>
    </w:p>
    <w:p w:rsidR="0035302E" w:rsidRDefault="0035302E">
      <w:pPr>
        <w:spacing w:line="570" w:lineRule="exact"/>
        <w:ind w:right="24" w:firstLineChars="100" w:firstLine="274"/>
        <w:rPr>
          <w:sz w:val="28"/>
          <w:szCs w:val="28"/>
        </w:rPr>
      </w:pPr>
    </w:p>
    <w:sectPr w:rsidR="0035302E">
      <w:headerReference w:type="default" r:id="rId8"/>
      <w:footerReference w:type="default" r:id="rId9"/>
      <w:pgSz w:w="11906" w:h="16838"/>
      <w:pgMar w:top="1962" w:right="1531" w:bottom="1848" w:left="1587" w:header="851" w:footer="964" w:gutter="0"/>
      <w:cols w:space="0"/>
      <w:docGrid w:type="linesAndChars" w:linePitch="589" w:charSpace="-1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7E" w:rsidRDefault="00465F7E">
      <w:r>
        <w:separator/>
      </w:r>
    </w:p>
  </w:endnote>
  <w:endnote w:type="continuationSeparator" w:id="0">
    <w:p w:rsidR="00465F7E" w:rsidRDefault="0046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2E" w:rsidRDefault="00465F7E">
    <w:pPr>
      <w:pStyle w:val="a6"/>
      <w:jc w:val="center"/>
      <w:rPr>
        <w:rFonts w:ascii="宋体" w:eastAsia="宋体" w:hAnsi="宋体" w:cs="宋体"/>
        <w:b/>
        <w:bCs/>
        <w:color w:val="005192"/>
        <w:sz w:val="28"/>
        <w:szCs w:val="44"/>
      </w:rPr>
    </w:pPr>
    <w:r>
      <w:pict>
        <v:shapetype id="_x0000_t202" coordsize="21600,21600" o:spt="202" path="m,l,21600r21600,l21600,xe">
          <v:stroke joinstyle="miter"/>
          <v:path gradientshapeok="t" o:connecttype="rect"/>
        </v:shapetype>
        <v:shape id="文本框 12" o:spid="_x0000_s2053" type="#_x0000_t202" style="position:absolute;left:0;text-align:left;margin-left:92.8pt;margin-top:-16.05pt;width:2in;height:2in;z-index:2;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filled="f" stroked="f" strokeweight=".5pt">
          <v:textbox style="mso-fit-shape-to-text:t" inset="0,0,0,0">
            <w:txbxContent>
              <w:p w:rsidR="0035302E" w:rsidRDefault="00465F7E">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000627D0">
                  <w:rPr>
                    <w:rFonts w:eastAsia="宋体"/>
                    <w:noProof/>
                    <w:sz w:val="28"/>
                    <w:szCs w:val="28"/>
                  </w:rPr>
                  <w:t>2</w:t>
                </w:r>
                <w:r>
                  <w:rPr>
                    <w:rFonts w:eastAsia="宋体"/>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rPr>
        <w:color w:val="FAFAFA"/>
        <w:sz w:val="32"/>
      </w:rPr>
      <w:pict>
        <v:line id="直接连接符 5" o:spid="_x0000_s2054" style="position:absolute;left:0;text-align:left;z-index:3;mso-width-relative:page;mso-height-relative:page" from="0,9pt" to="442.25pt,9.15pt"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strokecolor="#005192" strokeweight="1.75pt"/>
      </w:pict>
    </w:r>
  </w:p>
  <w:p w:rsidR="0035302E" w:rsidRDefault="00465F7E">
    <w:pPr>
      <w:pStyle w:val="a6"/>
      <w:ind w:firstLineChars="1709" w:firstLine="4804"/>
      <w:jc w:val="both"/>
      <w:rPr>
        <w:rFonts w:ascii="宋体" w:eastAsia="宋体" w:hAnsi="宋体" w:cs="宋体"/>
        <w:b/>
        <w:bCs/>
        <w:color w:val="005192"/>
        <w:sz w:val="28"/>
        <w:szCs w:val="44"/>
      </w:rPr>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p w:rsidR="0035302E" w:rsidRDefault="0035302E">
    <w:pPr>
      <w:pStyle w:val="a6"/>
      <w:ind w:firstLineChars="1709" w:firstLine="4804"/>
      <w:jc w:val="both"/>
      <w:rPr>
        <w:rFonts w:ascii="宋体" w:eastAsia="宋体" w:hAnsi="宋体" w:cs="宋体"/>
        <w:b/>
        <w:bCs/>
        <w:color w:val="005192"/>
        <w:sz w:val="28"/>
        <w:szCs w:val="44"/>
      </w:rPr>
    </w:pPr>
  </w:p>
  <w:p w:rsidR="0035302E" w:rsidRDefault="0035302E">
    <w:pPr>
      <w:pStyle w:val="a6"/>
      <w:ind w:right="280"/>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7E" w:rsidRDefault="00465F7E">
      <w:r>
        <w:separator/>
      </w:r>
    </w:p>
  </w:footnote>
  <w:footnote w:type="continuationSeparator" w:id="0">
    <w:p w:rsidR="00465F7E" w:rsidRDefault="0046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2E" w:rsidRDefault="0035302E">
    <w:pPr>
      <w:pStyle w:val="a7"/>
      <w:pBdr>
        <w:bottom w:val="none" w:sz="0" w:space="1" w:color="auto"/>
      </w:pBdr>
      <w:jc w:val="left"/>
      <w:rPr>
        <w:rFonts w:ascii="宋体" w:eastAsia="宋体" w:hAnsi="宋体" w:cs="宋体"/>
        <w:b/>
        <w:bCs/>
        <w:color w:val="005192"/>
        <w:sz w:val="32"/>
      </w:rPr>
    </w:pPr>
  </w:p>
  <w:p w:rsidR="0035302E" w:rsidRDefault="00465F7E">
    <w:pPr>
      <w:pStyle w:val="a7"/>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徽1024" style="width:24.6pt;height:24.6pt"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imagedata r:id="rId1" o:title=""/>
        </v:shape>
      </w:pict>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p w:rsidR="0035302E" w:rsidRDefault="00465F7E" w:rsidP="000627D0">
    <w:pPr>
      <w:pStyle w:val="a7"/>
      <w:pBdr>
        <w:bottom w:val="none" w:sz="0" w:space="1" w:color="auto"/>
      </w:pBdr>
      <w:jc w:val="left"/>
    </w:pPr>
    <w:r>
      <w:rPr>
        <w:color w:val="FAFAFA"/>
        <w:sz w:val="32"/>
      </w:rPr>
      <w:pict>
        <v:line id="直接连接符 4" o:spid="_x0000_s2052" style="position:absolute;z-index:1;mso-width-relative:page;mso-height-relative:page" from=".75pt,6.15pt" to="443pt,6.3pt"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strokecolor="#005192" strokeweight="1.7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2D759"/>
    <w:multiLevelType w:val="singleLevel"/>
    <w:tmpl w:val="6232D75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5"/>
  <w:doNotHyphenateCaps/>
  <w:drawingGridHorizontalSpacing w:val="157"/>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9DBFDF2E"/>
    <w:rsid w:val="ADDFD9C7"/>
    <w:rsid w:val="BCD7DB80"/>
    <w:rsid w:val="DDBBE5B7"/>
    <w:rsid w:val="E7FEDFA9"/>
    <w:rsid w:val="F7BF6BCE"/>
    <w:rsid w:val="F7FAF7E4"/>
    <w:rsid w:val="FAF7C9BF"/>
    <w:rsid w:val="FFDE18B5"/>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27D0"/>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73B5"/>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2E"/>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5F7E"/>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655"/>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3016"/>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2FF"/>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5C01"/>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C82004"/>
    <w:rsid w:val="04646A3A"/>
    <w:rsid w:val="09771982"/>
    <w:rsid w:val="0AAD078D"/>
    <w:rsid w:val="0DD4286F"/>
    <w:rsid w:val="12F55793"/>
    <w:rsid w:val="14C07992"/>
    <w:rsid w:val="16AA24F0"/>
    <w:rsid w:val="19635159"/>
    <w:rsid w:val="1B3352F2"/>
    <w:rsid w:val="1B7158FC"/>
    <w:rsid w:val="20264985"/>
    <w:rsid w:val="22BB57A7"/>
    <w:rsid w:val="235B1C57"/>
    <w:rsid w:val="23E179F9"/>
    <w:rsid w:val="248601A1"/>
    <w:rsid w:val="26840570"/>
    <w:rsid w:val="27854499"/>
    <w:rsid w:val="2A920951"/>
    <w:rsid w:val="2C4959EC"/>
    <w:rsid w:val="2D0E53A7"/>
    <w:rsid w:val="30E056AF"/>
    <w:rsid w:val="320E1020"/>
    <w:rsid w:val="327A0B91"/>
    <w:rsid w:val="33546CB8"/>
    <w:rsid w:val="34DC344C"/>
    <w:rsid w:val="3A246623"/>
    <w:rsid w:val="3AEB1D39"/>
    <w:rsid w:val="3C8D1B8C"/>
    <w:rsid w:val="3D0D5C68"/>
    <w:rsid w:val="3E350F4E"/>
    <w:rsid w:val="41D04DE6"/>
    <w:rsid w:val="441055F4"/>
    <w:rsid w:val="47400FA5"/>
    <w:rsid w:val="4B161173"/>
    <w:rsid w:val="4CA36216"/>
    <w:rsid w:val="4DB25983"/>
    <w:rsid w:val="4E810FA4"/>
    <w:rsid w:val="503F20DA"/>
    <w:rsid w:val="50407AE2"/>
    <w:rsid w:val="53087649"/>
    <w:rsid w:val="533615C5"/>
    <w:rsid w:val="54D95EC9"/>
    <w:rsid w:val="554C57D0"/>
    <w:rsid w:val="558A415E"/>
    <w:rsid w:val="56EE3764"/>
    <w:rsid w:val="5D2A64F1"/>
    <w:rsid w:val="5F716D35"/>
    <w:rsid w:val="61C112D7"/>
    <w:rsid w:val="64D3065E"/>
    <w:rsid w:val="656869E7"/>
    <w:rsid w:val="690209F1"/>
    <w:rsid w:val="6C7F9869"/>
    <w:rsid w:val="6CF74A74"/>
    <w:rsid w:val="6F12778A"/>
    <w:rsid w:val="6FF6632C"/>
    <w:rsid w:val="70755008"/>
    <w:rsid w:val="70CE3775"/>
    <w:rsid w:val="73FE32FF"/>
    <w:rsid w:val="74495B3F"/>
    <w:rsid w:val="774C57CE"/>
    <w:rsid w:val="7796724F"/>
    <w:rsid w:val="77983F3A"/>
    <w:rsid w:val="77D75791"/>
    <w:rsid w:val="79851C21"/>
    <w:rsid w:val="7C196939"/>
    <w:rsid w:val="7DFBB823"/>
    <w:rsid w:val="7E7535BB"/>
    <w:rsid w:val="7EE8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oNotEmbedSmartTags/>
  <w:decimalSymbol w:val="."/>
  <w:listSeparator w:val=","/>
  <w15:docId w15:val="{AD694439-B3F1-4773-B2A5-AFB212D8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Subtitle" w:locked="1" w:qFormat="1"/>
    <w:lsdException w:name="Date" w:qFormat="1"/>
    <w:lsdException w:name="Body Text 2"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pPr>
    <w:rPr>
      <w:rFonts w:ascii="仿宋" w:eastAsia="仿宋" w:hAnsi="仿宋"/>
      <w:sz w:val="30"/>
      <w:szCs w:val="30"/>
    </w:rPr>
  </w:style>
  <w:style w:type="paragraph" w:styleId="a3">
    <w:name w:val="Body Text"/>
    <w:basedOn w:val="a"/>
    <w:qFormat/>
    <w:pPr>
      <w:spacing w:after="120"/>
    </w:p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2">
    <w:name w:val="Body Text 2"/>
    <w:basedOn w:val="a"/>
    <w:qFormat/>
    <w:pPr>
      <w:spacing w:after="120" w:line="480" w:lineRule="auto"/>
    </w:pPr>
  </w:style>
  <w:style w:type="character" w:styleId="a8">
    <w:name w:val="page number"/>
    <w:qFormat/>
    <w:rPr>
      <w:rFonts w:cs="Times New Roman"/>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4"/>
    <customShpInfo spid="_x0000_s2051" textRotate="1"/>
    <customShpInfo spid="_x0000_s1046"/>
    <customShpInfo spid="_x0000_s1042"/>
    <customShpInfo spid="_x0000_s1043"/>
    <customShpInfo spid="_x0000_s1045"/>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1430257672</TotalTime>
  <Pages>1</Pages>
  <Words>390</Words>
  <Characters>2228</Characters>
  <Application>Microsoft Office Word</Application>
  <DocSecurity>0</DocSecurity>
  <Lines>18</Lines>
  <Paragraphs>5</Paragraphs>
  <ScaleCrop>false</ScaleCrop>
  <Company>Lenovo (Beijing) Limited</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SkyUser</cp:lastModifiedBy>
  <cp:revision>16</cp:revision>
  <cp:lastPrinted>2022-03-01T18:37:00Z</cp:lastPrinted>
  <dcterms:created xsi:type="dcterms:W3CDTF">2019-02-13T15:10:00Z</dcterms:created>
  <dcterms:modified xsi:type="dcterms:W3CDTF">2022-06-14T02:52:00Z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