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6E7" w:rsidRDefault="00DD3F8A">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重庆市水溶性聚乙烯醇建筑胶粘剂产品质量监督抽查实施细则（2021年）</w:t>
      </w:r>
    </w:p>
    <w:p w:rsidR="00F046E7" w:rsidRDefault="00F046E7">
      <w:pPr>
        <w:snapToGrid w:val="0"/>
        <w:spacing w:line="440" w:lineRule="exact"/>
        <w:ind w:firstLineChars="171" w:firstLine="359"/>
        <w:rPr>
          <w:rFonts w:ascii="宋体" w:hAnsi="宋体"/>
          <w:color w:val="000000"/>
          <w:szCs w:val="21"/>
        </w:rPr>
      </w:pPr>
    </w:p>
    <w:p w:rsidR="00F046E7" w:rsidRDefault="00DD3F8A">
      <w:pPr>
        <w:snapToGrid w:val="0"/>
        <w:spacing w:line="440" w:lineRule="exact"/>
        <w:rPr>
          <w:rFonts w:ascii="黑体" w:eastAsia="黑体" w:hAnsi="宋体"/>
          <w:color w:val="000000"/>
          <w:szCs w:val="21"/>
        </w:rPr>
      </w:pPr>
      <w:r>
        <w:rPr>
          <w:rFonts w:ascii="黑体" w:eastAsia="黑体" w:hAnsi="宋体" w:hint="eastAsia"/>
          <w:color w:val="000000"/>
          <w:szCs w:val="21"/>
        </w:rPr>
        <w:t>1 抽样方法</w:t>
      </w:r>
    </w:p>
    <w:p w:rsidR="00F046E7" w:rsidRDefault="00DD3F8A">
      <w:pPr>
        <w:snapToGrid w:val="0"/>
        <w:spacing w:line="440" w:lineRule="exact"/>
        <w:ind w:firstLineChars="200" w:firstLine="420"/>
        <w:rPr>
          <w:rFonts w:ascii="宋体" w:hAnsi="宋体"/>
          <w:color w:val="000000"/>
          <w:szCs w:val="21"/>
        </w:rPr>
      </w:pPr>
      <w:r>
        <w:rPr>
          <w:rFonts w:ascii="宋体" w:hAnsi="宋体" w:hint="eastAsia"/>
          <w:color w:val="000000"/>
          <w:szCs w:val="21"/>
        </w:rPr>
        <w:t>在生产者、销售者的待销产品中随机抽取有产品质量检验合格证明或者以其他形式表明合格的、近期生产的产品。</w:t>
      </w:r>
    </w:p>
    <w:p w:rsidR="00F046E7" w:rsidRDefault="00DD3F8A">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F046E7" w:rsidRDefault="00DD3F8A">
      <w:pPr>
        <w:snapToGrid w:val="0"/>
        <w:spacing w:line="440" w:lineRule="exact"/>
        <w:ind w:firstLineChars="200" w:firstLine="420"/>
        <w:rPr>
          <w:rFonts w:ascii="宋体" w:hAnsi="宋体"/>
          <w:szCs w:val="21"/>
        </w:rPr>
      </w:pPr>
      <w:r>
        <w:rPr>
          <w:rFonts w:ascii="宋体" w:hAnsi="宋体" w:hint="eastAsia"/>
          <w:szCs w:val="21"/>
        </w:rPr>
        <w:t>同一生产者按照同一标准生产的同一商标、同一规格型号的产品抽取样品6kg，其中4kg作为检验样品，2kg作为备用样品。</w:t>
      </w:r>
    </w:p>
    <w:p w:rsidR="00F046E7" w:rsidRDefault="00DD3F8A">
      <w:pPr>
        <w:snapToGrid w:val="0"/>
        <w:spacing w:line="440" w:lineRule="exact"/>
        <w:ind w:firstLineChars="200" w:firstLine="420"/>
        <w:rPr>
          <w:rFonts w:ascii="宋体" w:hAnsi="宋体"/>
          <w:szCs w:val="21"/>
        </w:rPr>
      </w:pPr>
      <w:r>
        <w:rPr>
          <w:rFonts w:ascii="宋体" w:hAnsi="宋体" w:hint="eastAsia"/>
          <w:szCs w:val="21"/>
        </w:rPr>
        <w:t>随机数抽样，随机数一般可使用随机数表、随机数骰子或扑克牌等方法产生。</w:t>
      </w:r>
    </w:p>
    <w:p w:rsidR="00F046E7" w:rsidRDefault="00F046E7">
      <w:pPr>
        <w:snapToGrid w:val="0"/>
        <w:spacing w:line="440" w:lineRule="exact"/>
        <w:ind w:firstLineChars="200" w:firstLine="420"/>
        <w:rPr>
          <w:rFonts w:ascii="宋体" w:hAnsi="宋体"/>
          <w:color w:val="000000" w:themeColor="text1"/>
          <w:szCs w:val="21"/>
        </w:rPr>
      </w:pPr>
    </w:p>
    <w:p w:rsidR="00F046E7" w:rsidRDefault="00DD3F8A">
      <w:pPr>
        <w:snapToGrid w:val="0"/>
        <w:spacing w:line="440" w:lineRule="exact"/>
        <w:rPr>
          <w:rFonts w:ascii="黑体" w:eastAsia="黑体" w:hAnsi="宋体"/>
          <w:color w:val="000000"/>
          <w:szCs w:val="21"/>
        </w:rPr>
      </w:pPr>
      <w:r>
        <w:rPr>
          <w:rFonts w:ascii="黑体" w:eastAsia="黑体" w:hAnsi="宋体" w:hint="eastAsia"/>
          <w:color w:val="000000"/>
          <w:szCs w:val="21"/>
        </w:rPr>
        <w:t>2 检验依据</w:t>
      </w:r>
    </w:p>
    <w:p w:rsidR="00F046E7" w:rsidRDefault="00DD3F8A">
      <w:pPr>
        <w:snapToGrid w:val="0"/>
        <w:spacing w:line="440" w:lineRule="exact"/>
        <w:ind w:firstLineChars="200" w:firstLine="420"/>
        <w:rPr>
          <w:rFonts w:ascii="宋体" w:hAnsi="宋体"/>
          <w:color w:val="000000" w:themeColor="text1"/>
          <w:szCs w:val="21"/>
        </w:rPr>
      </w:pPr>
      <w:r>
        <w:rPr>
          <w:rFonts w:ascii="宋体" w:hAnsi="宋体" w:hint="eastAsia"/>
          <w:color w:val="000000" w:themeColor="text1"/>
          <w:szCs w:val="21"/>
        </w:rPr>
        <w:t>检验项目和检验方法见表1。</w:t>
      </w:r>
    </w:p>
    <w:p w:rsidR="00F046E7" w:rsidRDefault="00DD3F8A">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表1 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2835"/>
        <w:gridCol w:w="2828"/>
      </w:tblGrid>
      <w:tr w:rsidR="00F046E7" w:rsidTr="00FC5098">
        <w:trPr>
          <w:trHeight w:val="400"/>
        </w:trPr>
        <w:tc>
          <w:tcPr>
            <w:tcW w:w="817"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序号</w:t>
            </w:r>
          </w:p>
        </w:tc>
        <w:tc>
          <w:tcPr>
            <w:tcW w:w="2693"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检验项目</w:t>
            </w:r>
          </w:p>
        </w:tc>
        <w:tc>
          <w:tcPr>
            <w:tcW w:w="2835"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判定依据</w:t>
            </w:r>
          </w:p>
        </w:tc>
        <w:tc>
          <w:tcPr>
            <w:tcW w:w="2828"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检验方法</w:t>
            </w:r>
          </w:p>
        </w:tc>
      </w:tr>
      <w:tr w:rsidR="00F046E7" w:rsidTr="00FC5098">
        <w:trPr>
          <w:trHeight w:hRule="exact" w:val="454"/>
        </w:trPr>
        <w:tc>
          <w:tcPr>
            <w:tcW w:w="817"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1</w:t>
            </w:r>
          </w:p>
        </w:tc>
        <w:tc>
          <w:tcPr>
            <w:tcW w:w="2693" w:type="dxa"/>
            <w:vAlign w:val="center"/>
          </w:tcPr>
          <w:p w:rsidR="00F046E7" w:rsidRDefault="00DD3F8A" w:rsidP="00FC5098">
            <w:pPr>
              <w:snapToGrid w:val="0"/>
              <w:jc w:val="center"/>
              <w:rPr>
                <w:rFonts w:ascii="宋体" w:hAnsi="宋体"/>
                <w:color w:val="000000" w:themeColor="text1"/>
                <w:szCs w:val="21"/>
              </w:rPr>
            </w:pPr>
            <w:r>
              <w:rPr>
                <w:rFonts w:ascii="宋体" w:hAnsi="宋体" w:cs="宋体" w:hint="eastAsia"/>
                <w:color w:val="000000" w:themeColor="text1"/>
                <w:kern w:val="0"/>
                <w:szCs w:val="21"/>
              </w:rPr>
              <w:t>不挥发物含量</w:t>
            </w:r>
          </w:p>
        </w:tc>
        <w:tc>
          <w:tcPr>
            <w:tcW w:w="2835"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GB/T 2793-1995</w:t>
            </w:r>
          </w:p>
        </w:tc>
      </w:tr>
      <w:tr w:rsidR="00F046E7" w:rsidTr="00FC5098">
        <w:trPr>
          <w:trHeight w:hRule="exact" w:val="454"/>
        </w:trPr>
        <w:tc>
          <w:tcPr>
            <w:tcW w:w="817"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2</w:t>
            </w:r>
          </w:p>
        </w:tc>
        <w:tc>
          <w:tcPr>
            <w:tcW w:w="2693"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粘结强度</w:t>
            </w:r>
          </w:p>
        </w:tc>
        <w:tc>
          <w:tcPr>
            <w:tcW w:w="2835"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JC/T 438-2019</w:t>
            </w:r>
          </w:p>
        </w:tc>
      </w:tr>
      <w:tr w:rsidR="00F046E7" w:rsidTr="00FC5098">
        <w:trPr>
          <w:trHeight w:hRule="exact" w:val="454"/>
        </w:trPr>
        <w:tc>
          <w:tcPr>
            <w:tcW w:w="817"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3</w:t>
            </w:r>
          </w:p>
        </w:tc>
        <w:tc>
          <w:tcPr>
            <w:tcW w:w="2693"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低温稳定性</w:t>
            </w:r>
          </w:p>
        </w:tc>
        <w:tc>
          <w:tcPr>
            <w:tcW w:w="2835"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JC/T 438-2019</w:t>
            </w:r>
          </w:p>
        </w:tc>
      </w:tr>
      <w:tr w:rsidR="00F046E7" w:rsidTr="00FC5098">
        <w:trPr>
          <w:trHeight w:hRule="exact" w:val="454"/>
        </w:trPr>
        <w:tc>
          <w:tcPr>
            <w:tcW w:w="817"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4</w:t>
            </w:r>
          </w:p>
        </w:tc>
        <w:tc>
          <w:tcPr>
            <w:tcW w:w="2693"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pH值</w:t>
            </w:r>
          </w:p>
        </w:tc>
        <w:tc>
          <w:tcPr>
            <w:tcW w:w="2835"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GB/T 14518-1993</w:t>
            </w:r>
          </w:p>
        </w:tc>
      </w:tr>
      <w:tr w:rsidR="00F046E7" w:rsidTr="00FC5098">
        <w:trPr>
          <w:trHeight w:hRule="exact" w:val="454"/>
        </w:trPr>
        <w:tc>
          <w:tcPr>
            <w:tcW w:w="817"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5</w:t>
            </w:r>
          </w:p>
        </w:tc>
        <w:tc>
          <w:tcPr>
            <w:tcW w:w="2693"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游离甲醛</w:t>
            </w:r>
          </w:p>
        </w:tc>
        <w:tc>
          <w:tcPr>
            <w:tcW w:w="2835"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GB 18583-2008</w:t>
            </w:r>
          </w:p>
        </w:tc>
      </w:tr>
      <w:tr w:rsidR="00F046E7" w:rsidTr="00FC5098">
        <w:trPr>
          <w:trHeight w:hRule="exact" w:val="454"/>
        </w:trPr>
        <w:tc>
          <w:tcPr>
            <w:tcW w:w="817"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6</w:t>
            </w:r>
          </w:p>
        </w:tc>
        <w:tc>
          <w:tcPr>
            <w:tcW w:w="2693"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苯</w:t>
            </w:r>
          </w:p>
        </w:tc>
        <w:tc>
          <w:tcPr>
            <w:tcW w:w="2835"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GB 18583-2008</w:t>
            </w:r>
          </w:p>
        </w:tc>
      </w:tr>
      <w:tr w:rsidR="00F046E7" w:rsidTr="00FC5098">
        <w:trPr>
          <w:trHeight w:hRule="exact" w:val="454"/>
        </w:trPr>
        <w:tc>
          <w:tcPr>
            <w:tcW w:w="817"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7</w:t>
            </w:r>
          </w:p>
        </w:tc>
        <w:tc>
          <w:tcPr>
            <w:tcW w:w="2693"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甲苯+二甲苯</w:t>
            </w:r>
          </w:p>
        </w:tc>
        <w:tc>
          <w:tcPr>
            <w:tcW w:w="2835"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GB 18583-2008</w:t>
            </w:r>
          </w:p>
        </w:tc>
      </w:tr>
      <w:tr w:rsidR="00F046E7" w:rsidTr="00FC5098">
        <w:trPr>
          <w:trHeight w:hRule="exact" w:val="454"/>
        </w:trPr>
        <w:tc>
          <w:tcPr>
            <w:tcW w:w="817"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8</w:t>
            </w:r>
          </w:p>
        </w:tc>
        <w:tc>
          <w:tcPr>
            <w:tcW w:w="2693"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总挥发性有机物</w:t>
            </w:r>
          </w:p>
        </w:tc>
        <w:tc>
          <w:tcPr>
            <w:tcW w:w="2835"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vAlign w:val="center"/>
          </w:tcPr>
          <w:p w:rsidR="00F046E7" w:rsidRDefault="00DD3F8A" w:rsidP="00FC5098">
            <w:pPr>
              <w:snapToGrid w:val="0"/>
              <w:jc w:val="center"/>
              <w:rPr>
                <w:rFonts w:ascii="宋体" w:hAnsi="宋体"/>
                <w:color w:val="000000" w:themeColor="text1"/>
                <w:szCs w:val="21"/>
              </w:rPr>
            </w:pPr>
            <w:r>
              <w:rPr>
                <w:rFonts w:ascii="宋体" w:hAnsi="宋体" w:hint="eastAsia"/>
                <w:color w:val="000000" w:themeColor="text1"/>
                <w:szCs w:val="21"/>
              </w:rPr>
              <w:t>GB 18583-2008</w:t>
            </w:r>
          </w:p>
        </w:tc>
      </w:tr>
    </w:tbl>
    <w:p w:rsidR="005B62F3" w:rsidRPr="005B62F3" w:rsidRDefault="005B62F3" w:rsidP="005B62F3">
      <w:pPr>
        <w:adjustRightInd w:val="0"/>
        <w:snapToGrid w:val="0"/>
        <w:spacing w:line="440" w:lineRule="exact"/>
        <w:ind w:firstLineChars="200" w:firstLine="420"/>
        <w:rPr>
          <w:color w:val="000000"/>
          <w:szCs w:val="21"/>
        </w:rPr>
      </w:pPr>
      <w:r w:rsidRPr="005B62F3">
        <w:rPr>
          <w:color w:val="000000"/>
        </w:rPr>
        <w:t>执行企业标准、团体标准、地方标准的产品，检验项目参照上述内容执行。</w:t>
      </w:r>
    </w:p>
    <w:p w:rsidR="005B62F3" w:rsidRPr="005B62F3" w:rsidRDefault="005B62F3" w:rsidP="005B62F3">
      <w:pPr>
        <w:snapToGrid w:val="0"/>
        <w:spacing w:line="440" w:lineRule="exact"/>
        <w:ind w:firstLineChars="200" w:firstLine="420"/>
        <w:rPr>
          <w:color w:val="000000"/>
          <w:szCs w:val="21"/>
        </w:rPr>
      </w:pPr>
      <w:r w:rsidRPr="005B62F3">
        <w:rPr>
          <w:rFonts w:hint="eastAsia"/>
          <w:color w:val="000000"/>
          <w:szCs w:val="21"/>
        </w:rPr>
        <w:t>凡是注日期的文件，其随后所有的修改单（不包括勘误的内容）或修订版不适用于本细则。凡是不注日期的文件，其最新版本适用于本细则。</w:t>
      </w:r>
    </w:p>
    <w:p w:rsidR="00F046E7" w:rsidRPr="005B62F3" w:rsidRDefault="00F046E7">
      <w:pPr>
        <w:snapToGrid w:val="0"/>
        <w:spacing w:line="440" w:lineRule="exact"/>
        <w:ind w:firstLineChars="171" w:firstLine="359"/>
        <w:rPr>
          <w:rFonts w:ascii="宋体" w:hAnsi="宋体"/>
          <w:color w:val="000000"/>
          <w:szCs w:val="21"/>
        </w:rPr>
      </w:pPr>
    </w:p>
    <w:p w:rsidR="00F046E7" w:rsidRDefault="00DD3F8A">
      <w:pPr>
        <w:spacing w:line="360" w:lineRule="auto"/>
        <w:rPr>
          <w:rFonts w:ascii="黑体" w:eastAsia="黑体" w:hAnsi="黑体"/>
          <w:color w:val="000000"/>
          <w:szCs w:val="21"/>
        </w:rPr>
      </w:pPr>
      <w:r>
        <w:rPr>
          <w:rFonts w:ascii="黑体" w:eastAsia="黑体" w:hAnsi="黑体" w:hint="eastAsia"/>
          <w:color w:val="000000"/>
          <w:szCs w:val="21"/>
        </w:rPr>
        <w:t>3 判定规则</w:t>
      </w:r>
    </w:p>
    <w:p w:rsidR="00F046E7" w:rsidRDefault="00DD3F8A">
      <w:pPr>
        <w:snapToGrid w:val="0"/>
        <w:spacing w:line="440" w:lineRule="exact"/>
        <w:rPr>
          <w:rFonts w:ascii="宋体" w:hAnsi="宋体"/>
          <w:color w:val="000000"/>
          <w:szCs w:val="21"/>
        </w:rPr>
      </w:pPr>
      <w:r>
        <w:rPr>
          <w:rFonts w:ascii="宋体" w:hAnsi="宋体" w:hint="eastAsia"/>
          <w:color w:val="000000"/>
          <w:szCs w:val="21"/>
        </w:rPr>
        <w:lastRenderedPageBreak/>
        <w:t>3.1依据标准</w:t>
      </w:r>
    </w:p>
    <w:p w:rsidR="00F046E7" w:rsidRDefault="00DD3F8A">
      <w:pPr>
        <w:snapToGrid w:val="0"/>
        <w:spacing w:line="440" w:lineRule="exact"/>
        <w:ind w:firstLine="405"/>
        <w:rPr>
          <w:color w:val="000000" w:themeColor="text1"/>
          <w:szCs w:val="21"/>
        </w:rPr>
      </w:pPr>
      <w:r>
        <w:rPr>
          <w:rFonts w:ascii="宋体" w:hAnsi="宋体" w:hint="eastAsia"/>
          <w:color w:val="000000" w:themeColor="text1"/>
          <w:szCs w:val="21"/>
        </w:rPr>
        <w:t>GB 18583-2008</w:t>
      </w:r>
      <w:r>
        <w:rPr>
          <w:rFonts w:hint="eastAsia"/>
          <w:color w:val="000000" w:themeColor="text1"/>
          <w:szCs w:val="21"/>
        </w:rPr>
        <w:t>室内装饰装修材料</w:t>
      </w:r>
      <w:r>
        <w:rPr>
          <w:rFonts w:hint="eastAsia"/>
          <w:color w:val="000000" w:themeColor="text1"/>
          <w:szCs w:val="21"/>
        </w:rPr>
        <w:t xml:space="preserve"> </w:t>
      </w:r>
      <w:r>
        <w:rPr>
          <w:rFonts w:hint="eastAsia"/>
          <w:color w:val="000000" w:themeColor="text1"/>
          <w:szCs w:val="21"/>
        </w:rPr>
        <w:t>胶粘剂中有害物质限量</w:t>
      </w:r>
    </w:p>
    <w:p w:rsidR="00F046E7" w:rsidRDefault="00DD3F8A">
      <w:pPr>
        <w:snapToGrid w:val="0"/>
        <w:spacing w:line="440" w:lineRule="exact"/>
        <w:ind w:firstLine="405"/>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JC/T 438-2019水溶性聚乙烯醇建筑胶粘剂</w:t>
      </w:r>
    </w:p>
    <w:p w:rsidR="00F046E7" w:rsidRDefault="00DD3F8A">
      <w:pPr>
        <w:snapToGrid w:val="0"/>
        <w:spacing w:line="44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相关的法律、行政法规、部门规章、规范性文件</w:t>
      </w:r>
    </w:p>
    <w:p w:rsidR="00F046E7" w:rsidRDefault="00DD3F8A">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rsidR="00F046E7" w:rsidRDefault="00DD3F8A">
      <w:pPr>
        <w:snapToGrid w:val="0"/>
        <w:spacing w:line="440" w:lineRule="exact"/>
        <w:rPr>
          <w:rFonts w:ascii="宋体" w:hAnsi="宋体"/>
          <w:color w:val="000000"/>
          <w:szCs w:val="21"/>
        </w:rPr>
      </w:pPr>
      <w:r>
        <w:rPr>
          <w:rFonts w:ascii="宋体" w:hAnsi="宋体" w:hint="eastAsia"/>
          <w:color w:val="000000"/>
          <w:szCs w:val="21"/>
        </w:rPr>
        <w:t>3.2判定原则</w:t>
      </w:r>
    </w:p>
    <w:p w:rsidR="00F046E7" w:rsidRDefault="00DD3F8A">
      <w:pPr>
        <w:snapToGrid w:val="0"/>
        <w:spacing w:line="440" w:lineRule="exact"/>
        <w:ind w:firstLineChars="199" w:firstLine="418"/>
        <w:rPr>
          <w:rFonts w:ascii="宋体" w:hAnsi="宋体"/>
          <w:color w:val="000000"/>
          <w:szCs w:val="21"/>
        </w:rPr>
      </w:pPr>
      <w:r>
        <w:rPr>
          <w:rFonts w:ascii="宋体" w:hAnsi="宋体" w:hint="eastAsia"/>
          <w:color w:val="000000"/>
          <w:szCs w:val="21"/>
        </w:rPr>
        <w:t>经检验，检验项目全部合格，判定为被抽查产品</w:t>
      </w:r>
      <w:r w:rsidR="001E7A15">
        <w:rPr>
          <w:rFonts w:ascii="宋体" w:hAnsi="宋体" w:hint="eastAsia"/>
          <w:color w:val="000000"/>
          <w:szCs w:val="21"/>
        </w:rPr>
        <w:t>合格</w:t>
      </w:r>
      <w:r>
        <w:rPr>
          <w:rFonts w:ascii="宋体" w:hAnsi="宋体" w:hint="eastAsia"/>
          <w:color w:val="000000"/>
          <w:szCs w:val="21"/>
        </w:rPr>
        <w:t>；检验项目中任一项或一项以上不合格，判定为被抽查产品不合格。</w:t>
      </w:r>
    </w:p>
    <w:p w:rsidR="00F046E7" w:rsidRDefault="00DD3F8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F046E7" w:rsidRDefault="00DD3F8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F046E7" w:rsidRDefault="00DD3F8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w:t>
      </w:r>
      <w:bookmarkStart w:id="0" w:name="_GoBack"/>
      <w:bookmarkEnd w:id="0"/>
      <w:r>
        <w:rPr>
          <w:rFonts w:ascii="宋体" w:hAnsi="宋体" w:hint="eastAsia"/>
          <w:color w:val="000000"/>
          <w:szCs w:val="21"/>
        </w:rPr>
        <w:t>则中检验项目依据的推荐性标准要求时，应以被检产品明示的质量要求判定，但应在检验报告备注中进行说明。</w:t>
      </w:r>
    </w:p>
    <w:p w:rsidR="00F046E7" w:rsidRDefault="00DD3F8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F046E7" w:rsidRDefault="00DD3F8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p w:rsidR="00F046E7" w:rsidRDefault="00F046E7">
      <w:pPr>
        <w:snapToGrid w:val="0"/>
        <w:spacing w:line="440" w:lineRule="exact"/>
        <w:rPr>
          <w:rFonts w:ascii="宋体" w:hAnsi="宋体"/>
          <w:color w:val="FF0000"/>
          <w:szCs w:val="21"/>
        </w:rPr>
      </w:pPr>
    </w:p>
    <w:p w:rsidR="00F046E7" w:rsidRDefault="00F046E7"/>
    <w:sectPr w:rsidR="00F046E7">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4CF" w:rsidRDefault="005504CF">
      <w:r>
        <w:separator/>
      </w:r>
    </w:p>
  </w:endnote>
  <w:endnote w:type="continuationSeparator" w:id="0">
    <w:p w:rsidR="005504CF" w:rsidRDefault="0055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6E7" w:rsidRDefault="00DD3F8A">
    <w:pPr>
      <w:pStyle w:val="a3"/>
      <w:framePr w:wrap="around" w:vAnchor="text" w:hAnchor="margin" w:xAlign="center" w:y="1"/>
      <w:rPr>
        <w:rStyle w:val="a8"/>
      </w:rPr>
    </w:pPr>
    <w:r>
      <w:fldChar w:fldCharType="begin"/>
    </w:r>
    <w:r>
      <w:rPr>
        <w:rStyle w:val="a8"/>
      </w:rPr>
      <w:instrText xml:space="preserve">PAGE  </w:instrText>
    </w:r>
    <w:r>
      <w:fldChar w:fldCharType="separate"/>
    </w:r>
    <w:r>
      <w:rPr>
        <w:rStyle w:val="a8"/>
      </w:rPr>
      <w:t>2</w:t>
    </w:r>
    <w:r>
      <w:fldChar w:fldCharType="end"/>
    </w:r>
  </w:p>
  <w:p w:rsidR="00F046E7" w:rsidRDefault="00F046E7">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6E7" w:rsidRDefault="00DD3F8A">
    <w:pPr>
      <w:pStyle w:val="a3"/>
      <w:jc w:val="center"/>
    </w:pPr>
    <w:r>
      <w:rPr>
        <w:lang w:val="zh-CN"/>
      </w:rPr>
      <w:fldChar w:fldCharType="begin"/>
    </w:r>
    <w:r>
      <w:rPr>
        <w:lang w:val="zh-CN"/>
      </w:rPr>
      <w:instrText xml:space="preserve"> PAGE   \* MERGEFORMAT </w:instrText>
    </w:r>
    <w:r>
      <w:rPr>
        <w:lang w:val="zh-CN"/>
      </w:rPr>
      <w:fldChar w:fldCharType="separate"/>
    </w:r>
    <w:r w:rsidR="001E7A15" w:rsidRPr="001E7A15">
      <w:rPr>
        <w:noProof/>
      </w:rPr>
      <w:t>1</w:t>
    </w:r>
    <w:r>
      <w:rPr>
        <w:lang w:val="zh-CN"/>
      </w:rPr>
      <w:fldChar w:fldCharType="end"/>
    </w:r>
  </w:p>
  <w:p w:rsidR="00F046E7" w:rsidRDefault="00F046E7">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4CF" w:rsidRDefault="005504CF">
      <w:r>
        <w:separator/>
      </w:r>
    </w:p>
  </w:footnote>
  <w:footnote w:type="continuationSeparator" w:id="0">
    <w:p w:rsidR="005504CF" w:rsidRDefault="005504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6E7" w:rsidRDefault="00F046E7">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93590"/>
    <w:rsid w:val="000F14CA"/>
    <w:rsid w:val="000F6EA4"/>
    <w:rsid w:val="001E7A15"/>
    <w:rsid w:val="00294840"/>
    <w:rsid w:val="002E523C"/>
    <w:rsid w:val="003A113D"/>
    <w:rsid w:val="004E1AD2"/>
    <w:rsid w:val="004E1C1B"/>
    <w:rsid w:val="005504CF"/>
    <w:rsid w:val="00557179"/>
    <w:rsid w:val="00591685"/>
    <w:rsid w:val="00593837"/>
    <w:rsid w:val="005B62F3"/>
    <w:rsid w:val="00600167"/>
    <w:rsid w:val="00605616"/>
    <w:rsid w:val="0064396E"/>
    <w:rsid w:val="00683C3C"/>
    <w:rsid w:val="006E7112"/>
    <w:rsid w:val="00787D84"/>
    <w:rsid w:val="008778BD"/>
    <w:rsid w:val="00882B8A"/>
    <w:rsid w:val="0092324A"/>
    <w:rsid w:val="00953298"/>
    <w:rsid w:val="00A472C3"/>
    <w:rsid w:val="00A54AB9"/>
    <w:rsid w:val="00B075ED"/>
    <w:rsid w:val="00B426B1"/>
    <w:rsid w:val="00C77C35"/>
    <w:rsid w:val="00C81E85"/>
    <w:rsid w:val="00CB77F3"/>
    <w:rsid w:val="00CC59D6"/>
    <w:rsid w:val="00CF3545"/>
    <w:rsid w:val="00DD3F8A"/>
    <w:rsid w:val="00DD5955"/>
    <w:rsid w:val="00E42EE6"/>
    <w:rsid w:val="00EA5F26"/>
    <w:rsid w:val="00EB1677"/>
    <w:rsid w:val="00EE6312"/>
    <w:rsid w:val="00F046E7"/>
    <w:rsid w:val="00F10520"/>
    <w:rsid w:val="00F61F81"/>
    <w:rsid w:val="00F67081"/>
    <w:rsid w:val="00FC5098"/>
    <w:rsid w:val="00FD4F28"/>
    <w:rsid w:val="03315EE9"/>
    <w:rsid w:val="06FB4342"/>
    <w:rsid w:val="07E63A72"/>
    <w:rsid w:val="0B564EF2"/>
    <w:rsid w:val="109135CD"/>
    <w:rsid w:val="14352463"/>
    <w:rsid w:val="146D0B03"/>
    <w:rsid w:val="18055AA5"/>
    <w:rsid w:val="1CB24FB8"/>
    <w:rsid w:val="232A3F75"/>
    <w:rsid w:val="29572B07"/>
    <w:rsid w:val="2EBC3000"/>
    <w:rsid w:val="371E15AF"/>
    <w:rsid w:val="3CBE38E0"/>
    <w:rsid w:val="3DAB7D3B"/>
    <w:rsid w:val="3E504B8B"/>
    <w:rsid w:val="3FF63992"/>
    <w:rsid w:val="41254400"/>
    <w:rsid w:val="488E7BA0"/>
    <w:rsid w:val="4ADB68A1"/>
    <w:rsid w:val="4B90577D"/>
    <w:rsid w:val="4C2C4A9B"/>
    <w:rsid w:val="4DD56467"/>
    <w:rsid w:val="4FD4258F"/>
    <w:rsid w:val="542179A9"/>
    <w:rsid w:val="58F47BA7"/>
    <w:rsid w:val="5C971688"/>
    <w:rsid w:val="5E132ACF"/>
    <w:rsid w:val="6264409B"/>
    <w:rsid w:val="65DB538E"/>
    <w:rsid w:val="69227113"/>
    <w:rsid w:val="6CB11514"/>
    <w:rsid w:val="7009662C"/>
    <w:rsid w:val="743B4EAB"/>
    <w:rsid w:val="75B46751"/>
    <w:rsid w:val="7B0162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BB91914-156B-4316-8D99-DE776F289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7">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page number"/>
    <w:basedOn w:val="a0"/>
    <w:qFormat/>
  </w:style>
  <w:style w:type="character" w:customStyle="1" w:styleId="Char">
    <w:name w:val="页脚 Char"/>
    <w:basedOn w:val="a0"/>
    <w:uiPriority w:val="99"/>
    <w:qFormat/>
    <w:rPr>
      <w:sz w:val="18"/>
      <w:szCs w:val="18"/>
    </w:rPr>
  </w:style>
  <w:style w:type="character" w:customStyle="1" w:styleId="Char0">
    <w:name w:val="页眉 Char"/>
    <w:basedOn w:val="a0"/>
    <w:uiPriority w:val="99"/>
    <w:qFormat/>
    <w:rPr>
      <w:sz w:val="18"/>
      <w:szCs w:val="18"/>
    </w:rPr>
  </w:style>
  <w:style w:type="character" w:customStyle="1" w:styleId="a4">
    <w:name w:val="页脚 字符"/>
    <w:basedOn w:val="a0"/>
    <w:link w:val="a3"/>
    <w:uiPriority w:val="99"/>
    <w:semiHidden/>
    <w:qFormat/>
    <w:rPr>
      <w:rFonts w:ascii="Times New Roman" w:eastAsia="宋体" w:hAnsi="Times New Roman" w:cs="Times New Roman"/>
      <w:sz w:val="18"/>
      <w:szCs w:val="18"/>
    </w:rPr>
  </w:style>
  <w:style w:type="character" w:customStyle="1" w:styleId="a6">
    <w:name w:val="页眉 字符"/>
    <w:basedOn w:val="a0"/>
    <w:link w:val="a5"/>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165</Words>
  <Characters>941</Characters>
  <Application>Microsoft Office Word</Application>
  <DocSecurity>0</DocSecurity>
  <Lines>7</Lines>
  <Paragraphs>2</Paragraphs>
  <ScaleCrop>false</ScaleCrop>
  <Company>Microsoft</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董丽楠</cp:lastModifiedBy>
  <cp:revision>17</cp:revision>
  <dcterms:created xsi:type="dcterms:W3CDTF">2020-01-02T07:16:00Z</dcterms:created>
  <dcterms:modified xsi:type="dcterms:W3CDTF">2021-06-18T11:35:00Z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BFF98A3FCA0E4E10B4527701A55C5C45</vt:lpwstr>
  </property>
</Properties>
</file>