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重庆市沙坪坝区市场监督管理局202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年政府信息公开工作年度报告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p>
    <w:p>
      <w:pPr>
        <w:numPr>
          <w:ilvl w:val="0"/>
          <w:numId w:val="0"/>
        </w:num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lang w:eastAsia="zh-CN"/>
          <w14:textFill>
            <w14:solidFill>
              <w14:schemeClr w14:val="tx1"/>
            </w14:solidFill>
          </w14:textFill>
        </w:rPr>
        <w:t>一、</w:t>
      </w:r>
      <w:r>
        <w:rPr>
          <w:rFonts w:hint="eastAsia" w:ascii="方正黑体_GBK" w:hAnsi="方正黑体_GBK" w:eastAsia="方正黑体_GBK" w:cs="方正黑体_GBK"/>
          <w:color w:val="000000" w:themeColor="text1"/>
          <w:szCs w:val="32"/>
          <w14:textFill>
            <w14:solidFill>
              <w14:schemeClr w14:val="tx1"/>
            </w14:solidFill>
          </w14:textFill>
        </w:rPr>
        <w:t>总体情况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cs="Times New Roman"/>
          <w:sz w:val="32"/>
          <w:szCs w:val="32"/>
          <w:lang w:val="en-US" w:eastAsia="zh-CN"/>
        </w:rPr>
        <w:t>4</w:t>
      </w:r>
      <w:r>
        <w:rPr>
          <w:rFonts w:hint="default" w:ascii="Times New Roman" w:hAnsi="Times New Roman" w:eastAsia="方正仿宋_GBK" w:cs="Times New Roman"/>
          <w:sz w:val="32"/>
          <w:szCs w:val="32"/>
        </w:rPr>
        <w:t>年，我局严格按照《中华人民共和国政府信息公开条例》要求，认真履行政府信息公开职责，有效</w:t>
      </w:r>
      <w:bookmarkStart w:id="0" w:name="_GoBack"/>
      <w:bookmarkEnd w:id="0"/>
      <w:r>
        <w:rPr>
          <w:rFonts w:hint="default" w:ascii="Times New Roman" w:hAnsi="Times New Roman" w:eastAsia="方正仿宋_GBK" w:cs="Times New Roman"/>
          <w:sz w:val="32"/>
          <w:szCs w:val="32"/>
        </w:rPr>
        <w:t>保障人民群众知情权、参与权、监督权，进一步优化政务服务环境，提升服务效能。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（一）主动公开情况。</w:t>
      </w:r>
      <w:r>
        <w:rPr>
          <w:rFonts w:hint="default" w:ascii="Times New Roman" w:hAnsi="Times New Roman" w:eastAsia="方正仿宋_GBK" w:cs="Times New Roman"/>
          <w:sz w:val="32"/>
          <w:szCs w:val="32"/>
        </w:rPr>
        <w:t>坚持</w:t>
      </w:r>
      <w:r>
        <w:rPr>
          <w:rFonts w:hint="eastAsia" w:cs="Times New Roman"/>
          <w:sz w:val="32"/>
          <w:szCs w:val="32"/>
          <w:lang w:eastAsia="zh-CN"/>
        </w:rPr>
        <w:t>“</w:t>
      </w:r>
      <w:r>
        <w:rPr>
          <w:rFonts w:hint="default" w:ascii="Times New Roman" w:hAnsi="Times New Roman" w:eastAsia="方正仿宋_GBK" w:cs="Times New Roman"/>
          <w:sz w:val="32"/>
          <w:szCs w:val="32"/>
        </w:rPr>
        <w:t>以公开为常态，不公开为例外</w:t>
      </w:r>
      <w:r>
        <w:rPr>
          <w:rFonts w:hint="eastAsia" w:cs="Times New Roman"/>
          <w:sz w:val="32"/>
          <w:szCs w:val="32"/>
          <w:lang w:eastAsia="zh-CN"/>
        </w:rPr>
        <w:t>”</w:t>
      </w:r>
      <w:r>
        <w:rPr>
          <w:rFonts w:hint="default" w:ascii="Times New Roman" w:hAnsi="Times New Roman" w:eastAsia="方正仿宋_GBK" w:cs="Times New Roman"/>
          <w:sz w:val="32"/>
          <w:szCs w:val="32"/>
        </w:rPr>
        <w:t>原则，通过重庆市市场监督管理局公众信息网子站</w:t>
      </w:r>
      <w:r>
        <w:rPr>
          <w:rFonts w:hint="eastAsia" w:ascii="Times New Roman" w:hAnsi="Times New Roman" w:eastAsia="方正仿宋_GBK" w:cs="Times New Roman"/>
          <w:sz w:val="32"/>
          <w:szCs w:val="32"/>
          <w:lang w:eastAsia="zh-CN"/>
        </w:rPr>
        <w:t>、</w:t>
      </w:r>
      <w:r>
        <w:rPr>
          <w:rFonts w:hint="eastAsia" w:cs="Times New Roman"/>
          <w:sz w:val="32"/>
          <w:szCs w:val="32"/>
          <w:lang w:eastAsia="zh-CN"/>
        </w:rPr>
        <w:t>“</w:t>
      </w:r>
      <w:r>
        <w:rPr>
          <w:rFonts w:hint="default" w:ascii="Times New Roman" w:hAnsi="Times New Roman" w:eastAsia="方正仿宋_GBK" w:cs="Times New Roman"/>
          <w:sz w:val="32"/>
          <w:szCs w:val="32"/>
        </w:rPr>
        <w:t>沙坪坝市场监管</w:t>
      </w:r>
      <w:r>
        <w:rPr>
          <w:rFonts w:hint="eastAsia" w:cs="Times New Roman"/>
          <w:sz w:val="32"/>
          <w:szCs w:val="32"/>
          <w:lang w:eastAsia="zh-CN"/>
        </w:rPr>
        <w:t>”</w:t>
      </w:r>
      <w:r>
        <w:rPr>
          <w:rFonts w:hint="default" w:ascii="Times New Roman" w:hAnsi="Times New Roman" w:eastAsia="方正仿宋_GBK" w:cs="Times New Roman"/>
          <w:sz w:val="32"/>
          <w:szCs w:val="32"/>
        </w:rPr>
        <w:t>微信公众号</w:t>
      </w:r>
      <w:r>
        <w:rPr>
          <w:rFonts w:hint="eastAsia"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主动公开政府信息</w:t>
      </w:r>
      <w:r>
        <w:rPr>
          <w:rFonts w:hint="eastAsia" w:cs="Times New Roman"/>
          <w:sz w:val="32"/>
          <w:szCs w:val="32"/>
          <w:lang w:val="en-US" w:eastAsia="zh-CN"/>
        </w:rPr>
        <w:t>996</w:t>
      </w:r>
      <w:r>
        <w:rPr>
          <w:rFonts w:hint="default" w:ascii="Times New Roman" w:hAnsi="Times New Roman" w:eastAsia="方正仿宋_GBK" w:cs="Times New Roman"/>
          <w:sz w:val="32"/>
          <w:szCs w:val="32"/>
        </w:rPr>
        <w:t>条。同时，依托</w:t>
      </w:r>
      <w:r>
        <w:rPr>
          <w:rFonts w:hint="eastAsia" w:cs="Times New Roman"/>
          <w:sz w:val="32"/>
          <w:szCs w:val="32"/>
          <w:lang w:eastAsia="zh-CN"/>
        </w:rPr>
        <w:t>“</w:t>
      </w:r>
      <w:r>
        <w:rPr>
          <w:rFonts w:hint="default" w:ascii="Times New Roman" w:hAnsi="Times New Roman" w:eastAsia="方正仿宋_GBK" w:cs="Times New Roman"/>
          <w:sz w:val="32"/>
          <w:szCs w:val="32"/>
        </w:rPr>
        <w:t>国家企业信用信息公示系统</w:t>
      </w:r>
      <w:r>
        <w:rPr>
          <w:rFonts w:hint="eastAsia" w:cs="Times New Roman"/>
          <w:sz w:val="32"/>
          <w:szCs w:val="32"/>
          <w:lang w:eastAsia="zh-CN"/>
        </w:rPr>
        <w:t>”</w:t>
      </w:r>
      <w:r>
        <w:rPr>
          <w:rFonts w:hint="default" w:ascii="Times New Roman" w:hAnsi="Times New Roman" w:eastAsia="方正仿宋_GBK" w:cs="Times New Roman"/>
          <w:sz w:val="32"/>
          <w:szCs w:val="32"/>
        </w:rPr>
        <w:t>等网站，及时主动公开行政许可、行政处罚相关信息。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（二）依申请公开情况。</w:t>
      </w:r>
      <w:r>
        <w:rPr>
          <w:rFonts w:hint="default" w:ascii="Times New Roman" w:hAnsi="Times New Roman" w:eastAsia="方正仿宋_GBK" w:cs="Times New Roman"/>
          <w:sz w:val="32"/>
          <w:szCs w:val="32"/>
        </w:rPr>
        <w:t>明确政府信息依申请公开有关事项，明确申请方式、答复时限及公开载体。202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年，共受理政府信息公开申请</w:t>
      </w: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rPr>
        <w:t>件，经审查，予以公开</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件</w:t>
      </w:r>
      <w:r>
        <w:rPr>
          <w:rFonts w:hint="eastAsia" w:cs="Times New Roman"/>
          <w:sz w:val="32"/>
          <w:szCs w:val="32"/>
          <w:lang w:eastAsia="zh-CN"/>
        </w:rPr>
        <w:t>，</w:t>
      </w:r>
      <w:r>
        <w:rPr>
          <w:rFonts w:hint="default" w:ascii="Times New Roman" w:hAnsi="Times New Roman" w:eastAsia="方正仿宋_GBK" w:cs="Times New Roman"/>
          <w:sz w:val="32"/>
          <w:szCs w:val="32"/>
        </w:rPr>
        <w:t>部分公开</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件</w:t>
      </w:r>
      <w:r>
        <w:rPr>
          <w:rFonts w:hint="eastAsia" w:cs="Times New Roman"/>
          <w:sz w:val="32"/>
          <w:szCs w:val="32"/>
          <w:lang w:eastAsia="zh-CN"/>
        </w:rPr>
        <w:t>，</w:t>
      </w:r>
      <w:r>
        <w:rPr>
          <w:rFonts w:hint="default" w:ascii="Times New Roman" w:hAnsi="Times New Roman" w:eastAsia="方正仿宋_GBK" w:cs="Times New Roman"/>
          <w:sz w:val="32"/>
          <w:szCs w:val="32"/>
        </w:rPr>
        <w:t>不予公开</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件</w:t>
      </w:r>
      <w:r>
        <w:rPr>
          <w:rFonts w:hint="eastAsia" w:cs="Times New Roman"/>
          <w:sz w:val="32"/>
          <w:szCs w:val="32"/>
          <w:lang w:eastAsia="zh-CN"/>
        </w:rPr>
        <w:t>，</w:t>
      </w:r>
      <w:r>
        <w:rPr>
          <w:rFonts w:hint="default" w:ascii="Times New Roman" w:hAnsi="Times New Roman" w:eastAsia="方正仿宋_GBK" w:cs="Times New Roman"/>
          <w:sz w:val="32"/>
          <w:szCs w:val="32"/>
        </w:rPr>
        <w:t>无法提供1件</w:t>
      </w:r>
      <w:r>
        <w:rPr>
          <w:rFonts w:hint="eastAsia" w:cs="Times New Roman"/>
          <w:sz w:val="32"/>
          <w:szCs w:val="32"/>
          <w:lang w:eastAsia="zh-CN"/>
        </w:rPr>
        <w:t>，</w:t>
      </w:r>
      <w:r>
        <w:rPr>
          <w:rFonts w:hint="eastAsia" w:ascii="Times New Roman" w:hAnsi="Times New Roman" w:eastAsia="方正仿宋_GBK" w:cs="Times New Roman"/>
          <w:sz w:val="32"/>
          <w:szCs w:val="32"/>
        </w:rPr>
        <w:t>申请人无正当理由逾期不补正、行政机关不再处理其政府信息公开申请</w:t>
      </w:r>
      <w:r>
        <w:rPr>
          <w:rFonts w:hint="eastAsia" w:cs="Times New Roman"/>
          <w:sz w:val="32"/>
          <w:szCs w:val="32"/>
          <w:lang w:val="en-US" w:eastAsia="zh-CN"/>
        </w:rPr>
        <w:t>1件</w:t>
      </w:r>
      <w:r>
        <w:rPr>
          <w:rFonts w:hint="eastAsia" w:ascii="Times New Roman" w:hAnsi="Times New Roman" w:eastAsia="方正仿宋_GBK" w:cs="Times New Roman"/>
          <w:sz w:val="32"/>
          <w:szCs w:val="32"/>
          <w:lang w:val="en-US" w:eastAsia="zh-CN"/>
        </w:rPr>
        <w:t>，上述政府信息公开申请均在法定期限内办结答复</w:t>
      </w:r>
      <w:r>
        <w:rPr>
          <w:rFonts w:hint="eastAsia" w:cs="Times New Roman"/>
          <w:sz w:val="32"/>
          <w:szCs w:val="32"/>
          <w:lang w:val="en-US" w:eastAsia="zh-CN"/>
        </w:rPr>
        <w:t>，</w:t>
      </w:r>
      <w:r>
        <w:rPr>
          <w:rFonts w:hint="eastAsia" w:ascii="Times New Roman" w:hAnsi="Times New Roman" w:eastAsia="方正仿宋_GBK" w:cs="Times New Roman"/>
          <w:sz w:val="32"/>
          <w:szCs w:val="32"/>
          <w:lang w:val="en-US" w:eastAsia="zh-CN"/>
        </w:rPr>
        <w:t>结</w:t>
      </w:r>
      <w:r>
        <w:rPr>
          <w:rFonts w:hint="eastAsia" w:ascii="Times New Roman" w:hAnsi="Times New Roman" w:eastAsia="方正仿宋_GBK" w:cs="Times New Roman"/>
          <w:sz w:val="32"/>
          <w:szCs w:val="32"/>
          <w:lang w:eastAsia="zh-CN"/>
        </w:rPr>
        <w:t>转下年度继续办理</w:t>
      </w:r>
      <w:r>
        <w:rPr>
          <w:rFonts w:hint="eastAsia" w:ascii="Times New Roman" w:hAnsi="Times New Roman" w:eastAsia="方正仿宋_GBK" w:cs="Times New Roman"/>
          <w:sz w:val="32"/>
          <w:szCs w:val="32"/>
          <w:lang w:val="en-US" w:eastAsia="zh-CN"/>
        </w:rPr>
        <w:t>1件</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（三）政府信息管理情况。</w:t>
      </w:r>
      <w:r>
        <w:rPr>
          <w:rFonts w:hint="default" w:ascii="Times New Roman" w:hAnsi="Times New Roman" w:eastAsia="方正仿宋_GBK" w:cs="Times New Roman"/>
          <w:sz w:val="32"/>
          <w:szCs w:val="32"/>
        </w:rPr>
        <w:t>强化流程管理，落实专人对政务公开栏目的内容进行动态更新，严格落实</w:t>
      </w:r>
      <w:r>
        <w:rPr>
          <w:rFonts w:hint="eastAsia" w:cs="Times New Roman"/>
          <w:sz w:val="32"/>
          <w:szCs w:val="32"/>
          <w:lang w:eastAsia="zh-CN"/>
        </w:rPr>
        <w:t>“</w:t>
      </w:r>
      <w:r>
        <w:rPr>
          <w:rFonts w:hint="default" w:ascii="Times New Roman" w:hAnsi="Times New Roman" w:eastAsia="方正仿宋_GBK" w:cs="Times New Roman"/>
          <w:sz w:val="32"/>
          <w:szCs w:val="32"/>
        </w:rPr>
        <w:t>三审三校</w:t>
      </w:r>
      <w:r>
        <w:rPr>
          <w:rFonts w:hint="eastAsia" w:cs="Times New Roman"/>
          <w:sz w:val="32"/>
          <w:szCs w:val="32"/>
          <w:lang w:eastAsia="zh-CN"/>
        </w:rPr>
        <w:t>”</w:t>
      </w:r>
      <w:r>
        <w:rPr>
          <w:rFonts w:hint="default" w:ascii="Times New Roman" w:hAnsi="Times New Roman" w:eastAsia="方正仿宋_GBK" w:cs="Times New Roman"/>
          <w:sz w:val="32"/>
          <w:szCs w:val="32"/>
        </w:rPr>
        <w:t>制度，加强信息采编、报送、发布等各个环节的审核把关，确保政府信息公开工作规范有序、便民高效。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（四）平台建设情况。</w:t>
      </w:r>
      <w:r>
        <w:rPr>
          <w:rFonts w:hint="default" w:ascii="Times New Roman" w:hAnsi="Times New Roman" w:eastAsia="方正仿宋_GBK" w:cs="Times New Roman"/>
          <w:sz w:val="32"/>
          <w:szCs w:val="32"/>
        </w:rPr>
        <w:t>以重庆市市场监督管理局公众信息网子站和区政府门户网站为主要公开渠道，充分利用国家企业信用信息公示系统、微信公众号等多种载体公开政府信息，构建全方位的信息公开平台。强化网站信息日常管理</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定期开展网站巡查，及时查漏补缺，提升发布信息质量，方便群众查阅获取市场监管工作动态及相关办事程序。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（五）监督保障情况。</w:t>
      </w:r>
      <w:r>
        <w:rPr>
          <w:rFonts w:hint="default" w:ascii="Times New Roman" w:hAnsi="Times New Roman" w:eastAsia="方正仿宋_GBK" w:cs="Times New Roman"/>
          <w:sz w:val="32"/>
          <w:szCs w:val="32"/>
        </w:rPr>
        <w:t>按照</w:t>
      </w:r>
      <w:r>
        <w:rPr>
          <w:rFonts w:hint="eastAsia" w:cs="Times New Roman"/>
          <w:sz w:val="32"/>
          <w:szCs w:val="32"/>
          <w:lang w:eastAsia="zh-CN"/>
        </w:rPr>
        <w:t>“</w:t>
      </w:r>
      <w:r>
        <w:rPr>
          <w:rFonts w:hint="default" w:ascii="Times New Roman" w:hAnsi="Times New Roman" w:eastAsia="方正仿宋_GBK" w:cs="Times New Roman"/>
          <w:sz w:val="32"/>
          <w:szCs w:val="32"/>
        </w:rPr>
        <w:t>党组统一领导，主要领导亲自抓，分管领导具体抓，专门科室抓落实</w:t>
      </w:r>
      <w:r>
        <w:rPr>
          <w:rFonts w:hint="eastAsia" w:cs="Times New Roman"/>
          <w:sz w:val="32"/>
          <w:szCs w:val="32"/>
          <w:lang w:eastAsia="zh-CN"/>
        </w:rPr>
        <w:t>”</w:t>
      </w:r>
      <w:r>
        <w:rPr>
          <w:rFonts w:hint="default" w:ascii="Times New Roman" w:hAnsi="Times New Roman" w:eastAsia="方正仿宋_GBK" w:cs="Times New Roman"/>
          <w:sz w:val="32"/>
          <w:szCs w:val="32"/>
        </w:rPr>
        <w:t>的工作要求，把政府信息公开工作列入重要议事日程，加强相关人员业务培训，有效提升政务公开业务水平和政务公开工作质量。</w:t>
      </w:r>
    </w:p>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二、主动公开政府信息情况</w:t>
      </w:r>
    </w:p>
    <w:tbl>
      <w:tblPr>
        <w:tblStyle w:val="5"/>
        <w:tblW w:w="9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35"/>
        <w:gridCol w:w="2435"/>
        <w:gridCol w:w="2435"/>
        <w:gridCol w:w="2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本年制发件数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本年废止件数</w:t>
            </w:r>
          </w:p>
        </w:tc>
        <w:tc>
          <w:tcPr>
            <w:tcW w:w="2435" w:type="dxa"/>
            <w:shd w:val="clear" w:color="auto" w:fill="auto"/>
            <w:tcMar>
              <w:left w:w="57" w:type="dxa"/>
              <w:right w:w="57" w:type="dxa"/>
            </w:tcMar>
            <w:vAlign w:val="center"/>
          </w:tcPr>
          <w:p>
            <w:pPr>
              <w:widowControl/>
              <w:jc w:val="center"/>
            </w:pPr>
            <w:r>
              <w:rPr>
                <w:rFonts w:hint="eastAsia" w:eastAsia="宋体" w:cs="宋体"/>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规章</w:t>
            </w:r>
          </w:p>
        </w:tc>
        <w:tc>
          <w:tcPr>
            <w:tcW w:w="2435" w:type="dxa"/>
            <w:shd w:val="clear" w:color="auto" w:fill="auto"/>
            <w:tcMar>
              <w:left w:w="57" w:type="dxa"/>
              <w:right w:w="57" w:type="dxa"/>
            </w:tcMar>
            <w:vAlign w:val="center"/>
          </w:tcPr>
          <w:p>
            <w:pPr>
              <w:widowControl/>
              <w:jc w:val="left"/>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left"/>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left"/>
              <w:rPr>
                <w:rFonts w:hint="eastAsia" w:eastAsiaTheme="minorEastAsia"/>
                <w:lang w:val="en-US" w:eastAsia="zh-CN"/>
              </w:rPr>
            </w:pPr>
            <w:r>
              <w:rPr>
                <w:rFonts w:cs="Calibri" w:eastAsiaTheme="minorEastAsia"/>
                <w:kern w:val="0"/>
                <w:sz w:val="21"/>
                <w:szCs w:val="21"/>
                <w:lang w:bidi="ar"/>
              </w:rPr>
              <w:t> </w:t>
            </w:r>
            <w:r>
              <w:rPr>
                <w:rFonts w:hint="eastAsia" w:cs="Calibri" w:eastAsiaTheme="minorEastAsia"/>
                <w:kern w:val="0"/>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行政规范性文件</w:t>
            </w:r>
          </w:p>
        </w:tc>
        <w:tc>
          <w:tcPr>
            <w:tcW w:w="2435" w:type="dxa"/>
            <w:shd w:val="clear" w:color="auto" w:fill="auto"/>
            <w:tcMar>
              <w:left w:w="57" w:type="dxa"/>
              <w:right w:w="57" w:type="dxa"/>
            </w:tcMar>
            <w:vAlign w:val="center"/>
          </w:tcPr>
          <w:p>
            <w:pPr>
              <w:widowControl/>
              <w:jc w:val="left"/>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0</w:t>
            </w:r>
          </w:p>
        </w:tc>
        <w:tc>
          <w:tcPr>
            <w:tcW w:w="2435" w:type="dxa"/>
            <w:shd w:val="clear" w:color="auto" w:fill="auto"/>
            <w:tcMar>
              <w:left w:w="57" w:type="dxa"/>
              <w:right w:w="57" w:type="dxa"/>
            </w:tcMar>
            <w:vAlign w:val="center"/>
          </w:tcPr>
          <w:p>
            <w:pPr>
              <w:widowControl/>
              <w:jc w:val="left"/>
              <w:rPr>
                <w:rFonts w:hint="eastAsia"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1</w:t>
            </w:r>
          </w:p>
        </w:tc>
        <w:tc>
          <w:tcPr>
            <w:tcW w:w="2435" w:type="dxa"/>
            <w:shd w:val="clear" w:color="auto" w:fill="auto"/>
            <w:tcMar>
              <w:left w:w="57" w:type="dxa"/>
              <w:right w:w="57" w:type="dxa"/>
            </w:tcMar>
            <w:vAlign w:val="center"/>
          </w:tcPr>
          <w:p>
            <w:pPr>
              <w:widowControl/>
              <w:jc w:val="left"/>
              <w:rPr>
                <w:rFonts w:hint="eastAsia" w:eastAsiaTheme="minorEastAsia"/>
                <w:lang w:val="en-US" w:eastAsia="zh-CN"/>
              </w:rPr>
            </w:pPr>
            <w:r>
              <w:rPr>
                <w:rFonts w:cs="Calibri" w:eastAsiaTheme="minorEastAsia"/>
                <w:kern w:val="0"/>
                <w:sz w:val="21"/>
                <w:szCs w:val="21"/>
                <w:lang w:bidi="ar"/>
              </w:rPr>
              <w:t> </w:t>
            </w:r>
            <w:r>
              <w:rPr>
                <w:rFonts w:hint="eastAsia" w:cs="Calibri" w:eastAsiaTheme="minorEastAsia"/>
                <w:kern w:val="0"/>
                <w:sz w:val="21"/>
                <w:szCs w:val="21"/>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行政许可</w:t>
            </w:r>
          </w:p>
        </w:tc>
        <w:tc>
          <w:tcPr>
            <w:tcW w:w="7305" w:type="dxa"/>
            <w:gridSpan w:val="3"/>
            <w:shd w:val="clear" w:color="auto" w:fill="FFFFFF" w:themeFill="background1"/>
            <w:tcMar>
              <w:left w:w="57" w:type="dxa"/>
              <w:right w:w="57" w:type="dxa"/>
            </w:tcMar>
            <w:vAlign w:val="center"/>
          </w:tcPr>
          <w:p>
            <w:pPr>
              <w:widowControl/>
              <w:jc w:val="left"/>
            </w:pPr>
            <w:r>
              <w:rPr>
                <w:rFonts w:cs="Calibri" w:eastAsiaTheme="minorEastAsia"/>
                <w:kern w:val="0"/>
                <w:sz w:val="21"/>
                <w:szCs w:val="21"/>
                <w:lang w:bidi="ar"/>
              </w:rPr>
              <w:t> </w:t>
            </w:r>
            <w:r>
              <w:rPr>
                <w:rFonts w:hint="eastAsia" w:cs="Calibri" w:eastAsiaTheme="minorEastAsia"/>
                <w:kern w:val="0"/>
                <w:sz w:val="21"/>
                <w:szCs w:val="21"/>
                <w:lang w:bidi="ar"/>
              </w:rPr>
              <w:t>10995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行政处罚</w:t>
            </w:r>
          </w:p>
        </w:tc>
        <w:tc>
          <w:tcPr>
            <w:tcW w:w="7305" w:type="dxa"/>
            <w:gridSpan w:val="3"/>
            <w:shd w:val="clear" w:color="auto" w:fill="FFFFFF" w:themeFill="background1"/>
            <w:tcMar>
              <w:left w:w="57" w:type="dxa"/>
              <w:right w:w="57" w:type="dxa"/>
            </w:tcMar>
            <w:vAlign w:val="center"/>
          </w:tcPr>
          <w:p>
            <w:pPr>
              <w:widowControl/>
              <w:jc w:val="left"/>
              <w:rPr>
                <w:rFonts w:hint="default"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行政强制</w:t>
            </w:r>
          </w:p>
        </w:tc>
        <w:tc>
          <w:tcPr>
            <w:tcW w:w="7305" w:type="dxa"/>
            <w:gridSpan w:val="3"/>
            <w:shd w:val="clear" w:color="auto" w:fill="FFFFFF" w:themeFill="background1"/>
            <w:tcMar>
              <w:left w:w="57" w:type="dxa"/>
              <w:right w:w="57" w:type="dxa"/>
            </w:tcMar>
            <w:vAlign w:val="center"/>
          </w:tcPr>
          <w:p>
            <w:pPr>
              <w:widowControl/>
              <w:jc w:val="left"/>
              <w:rPr>
                <w:rFonts w:hint="default" w:eastAsia="宋体"/>
                <w:lang w:val="en-US" w:eastAsia="zh-CN"/>
              </w:rPr>
            </w:pPr>
            <w:r>
              <w:rPr>
                <w:rFonts w:hint="eastAsia" w:eastAsia="宋体" w:cs="宋体"/>
                <w:kern w:val="0"/>
                <w:sz w:val="20"/>
                <w:lang w:bidi="ar"/>
              </w:rPr>
              <w:t>　</w:t>
            </w:r>
            <w:r>
              <w:rPr>
                <w:rFonts w:hint="eastAsia" w:eastAsia="宋体" w:cs="宋体"/>
                <w:kern w:val="0"/>
                <w:sz w:val="20"/>
                <w:lang w:val="en-US" w:eastAsia="zh-CN" w:bidi="ar"/>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9740" w:type="dxa"/>
            <w:gridSpan w:val="4"/>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信息内容</w:t>
            </w:r>
          </w:p>
        </w:tc>
        <w:tc>
          <w:tcPr>
            <w:tcW w:w="7305" w:type="dxa"/>
            <w:gridSpan w:val="3"/>
            <w:shd w:val="clear" w:color="auto" w:fill="FFFFFF" w:themeFill="background1"/>
            <w:tcMar>
              <w:left w:w="57" w:type="dxa"/>
              <w:right w:w="57" w:type="dxa"/>
            </w:tcMar>
            <w:vAlign w:val="center"/>
          </w:tcPr>
          <w:p>
            <w:pPr>
              <w:widowControl/>
              <w:jc w:val="center"/>
            </w:pPr>
            <w:r>
              <w:rPr>
                <w:rFonts w:hint="eastAsia" w:eastAsia="宋体" w:cs="宋体"/>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jc w:val="left"/>
            </w:pPr>
            <w:r>
              <w:rPr>
                <w:rFonts w:hint="eastAsia" w:eastAsia="宋体" w:cs="宋体"/>
                <w:kern w:val="0"/>
                <w:sz w:val="20"/>
                <w:lang w:bidi="ar"/>
              </w:rPr>
              <w:t>行政事业性收费</w:t>
            </w:r>
          </w:p>
        </w:tc>
        <w:tc>
          <w:tcPr>
            <w:tcW w:w="7305" w:type="dxa"/>
            <w:gridSpan w:val="3"/>
            <w:shd w:val="clear" w:color="auto" w:fill="FFFFFF" w:themeFill="background1"/>
            <w:tcMar>
              <w:left w:w="57" w:type="dxa"/>
              <w:right w:w="57" w:type="dxa"/>
            </w:tcMar>
            <w:vAlign w:val="center"/>
          </w:tcPr>
          <w:p>
            <w:pPr>
              <w:rPr>
                <w:rFonts w:hint="default" w:eastAsia="方正仿宋_GBK"/>
                <w:sz w:val="24"/>
                <w:szCs w:val="24"/>
                <w:lang w:val="en-US" w:eastAsia="zh-CN"/>
              </w:rPr>
            </w:pPr>
            <w:r>
              <w:rPr>
                <w:rFonts w:hint="eastAsia"/>
                <w:sz w:val="24"/>
                <w:szCs w:val="24"/>
                <w:lang w:val="en-US" w:eastAsia="zh-CN"/>
              </w:rPr>
              <w:t>3.285</w:t>
            </w:r>
          </w:p>
        </w:tc>
      </w:tr>
    </w:tbl>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三、收到和处理政府信息公开申请情况</w:t>
      </w:r>
    </w:p>
    <w:tbl>
      <w:tblPr>
        <w:tblStyle w:val="5"/>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restart"/>
            <w:shd w:val="clear" w:color="auto" w:fill="auto"/>
            <w:tcMar>
              <w:left w:w="108" w:type="dxa"/>
              <w:right w:w="108" w:type="dxa"/>
            </w:tcMar>
            <w:vAlign w:val="center"/>
          </w:tcPr>
          <w:p>
            <w:pPr>
              <w:widowControl/>
              <w:jc w:val="left"/>
              <w:rPr>
                <w:color w:val="000000" w:themeColor="text1"/>
                <w14:textFill>
                  <w14:solidFill>
                    <w14:schemeClr w14:val="tx1"/>
                  </w14:solidFill>
                </w14:textFill>
              </w:rPr>
            </w:pPr>
            <w:r>
              <w:rPr>
                <w:rFonts w:eastAsia="楷体" w:cs="楷体"/>
                <w:color w:val="000000" w:themeColor="text1"/>
                <w:kern w:val="0"/>
                <w:sz w:val="20"/>
                <w:lang w:bidi="ar"/>
                <w14:textFill>
                  <w14:solidFill>
                    <w14:schemeClr w14:val="tx1"/>
                  </w14:solidFill>
                </w14:textFill>
              </w:rPr>
              <w:t>（本列数据的勾稽关系为：第一项加第二项之和，等于第三项加第四项之和）</w:t>
            </w:r>
          </w:p>
        </w:tc>
        <w:tc>
          <w:tcPr>
            <w:tcW w:w="4817" w:type="dxa"/>
            <w:gridSpan w:val="7"/>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自然人</w:t>
            </w:r>
          </w:p>
        </w:tc>
        <w:tc>
          <w:tcPr>
            <w:tcW w:w="3440" w:type="dxa"/>
            <w:gridSpan w:val="5"/>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法人或其他组织</w:t>
            </w:r>
          </w:p>
        </w:tc>
        <w:tc>
          <w:tcPr>
            <w:tcW w:w="689" w:type="dxa"/>
            <w:vMerge w:val="restart"/>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88"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商业</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企业</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科研</w:t>
            </w:r>
          </w:p>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社会公益组织</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法律服务机构</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p>
        </w:tc>
        <w:tc>
          <w:tcPr>
            <w:tcW w:w="689"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一、本年新收政府信息公开申请数量</w:t>
            </w:r>
          </w:p>
        </w:tc>
        <w:tc>
          <w:tcPr>
            <w:tcW w:w="688" w:type="dxa"/>
            <w:shd w:val="clear" w:color="auto" w:fill="auto"/>
            <w:tcMar>
              <w:left w:w="57" w:type="dxa"/>
              <w:right w:w="57" w:type="dxa"/>
            </w:tcMar>
            <w:vAlign w:val="center"/>
          </w:tcPr>
          <w:p>
            <w:pPr>
              <w:widowControl/>
              <w:jc w:val="center"/>
              <w:rPr>
                <w:rFonts w:hint="default"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28</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二、上年结转政府信息公开申请数量</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三、本年度办理结果</w:t>
            </w: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（一）予以公开</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8</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（二）部分公开</w:t>
            </w:r>
            <w:r>
              <w:rPr>
                <w:rFonts w:eastAsia="楷体" w:cs="楷体"/>
                <w:color w:val="000000" w:themeColor="text1"/>
                <w:kern w:val="0"/>
                <w:sz w:val="20"/>
                <w:lang w:bidi="ar"/>
                <w14:textFill>
                  <w14:solidFill>
                    <w14:schemeClr w14:val="tx1"/>
                  </w14:solidFill>
                </w14:textFill>
              </w:rPr>
              <w:t>（区分处理的，只计这一情形，不计其他情形）</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8</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（三）不予公开</w:t>
            </w: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.属于国家秘密</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.其他法律行政法规禁止公开</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.危及“三安全一稳定”</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4</w:t>
            </w:r>
            <w:r>
              <w:rPr>
                <w:rFonts w:hint="eastAsia" w:eastAsia="宋体" w:cs="宋体"/>
                <w:color w:val="000000" w:themeColor="text1"/>
                <w:kern w:val="0"/>
                <w:sz w:val="20"/>
                <w:lang w:bidi="ar"/>
                <w14:textFill>
                  <w14:solidFill>
                    <w14:schemeClr w14:val="tx1"/>
                  </w14:solidFill>
                </w14:textFill>
              </w:rPr>
              <w:t>.保护第三方合法权益</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5</w:t>
            </w:r>
            <w:r>
              <w:rPr>
                <w:rFonts w:hint="eastAsia" w:eastAsia="宋体" w:cs="宋体"/>
                <w:color w:val="000000" w:themeColor="text1"/>
                <w:kern w:val="0"/>
                <w:sz w:val="20"/>
                <w:lang w:bidi="ar"/>
                <w14:textFill>
                  <w14:solidFill>
                    <w14:schemeClr w14:val="tx1"/>
                  </w14:solidFill>
                </w14:textFill>
              </w:rPr>
              <w:t>.属于三类内部事务信息</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4</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6</w:t>
            </w:r>
            <w:r>
              <w:rPr>
                <w:rFonts w:hint="eastAsia" w:eastAsia="宋体" w:cs="宋体"/>
                <w:color w:val="000000" w:themeColor="text1"/>
                <w:kern w:val="0"/>
                <w:sz w:val="20"/>
                <w:lang w:bidi="ar"/>
                <w14:textFill>
                  <w14:solidFill>
                    <w14:schemeClr w14:val="tx1"/>
                  </w14:solidFill>
                </w14:textFill>
              </w:rPr>
              <w:t>.属于四类过程性信息</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7</w:t>
            </w:r>
            <w:r>
              <w:rPr>
                <w:rFonts w:hint="eastAsia" w:eastAsia="宋体" w:cs="宋体"/>
                <w:color w:val="000000" w:themeColor="text1"/>
                <w:kern w:val="0"/>
                <w:sz w:val="20"/>
                <w:lang w:bidi="ar"/>
                <w14:textFill>
                  <w14:solidFill>
                    <w14:schemeClr w14:val="tx1"/>
                  </w14:solidFill>
                </w14:textFill>
              </w:rPr>
              <w:t>.属于行政执法案卷</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4</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8</w:t>
            </w:r>
            <w:r>
              <w:rPr>
                <w:rFonts w:hint="eastAsia" w:eastAsia="宋体" w:cs="宋体"/>
                <w:color w:val="000000" w:themeColor="text1"/>
                <w:kern w:val="0"/>
                <w:sz w:val="20"/>
                <w:lang w:bidi="ar"/>
                <w14:textFill>
                  <w14:solidFill>
                    <w14:schemeClr w14:val="tx1"/>
                  </w14:solidFill>
                </w14:textFill>
              </w:rPr>
              <w:t>.属于行政查询事项</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（四）无法提供</w:t>
            </w: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.本机关不掌握相关政府信息</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.没有现成信息需要另行制作</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.补正后申请内容仍不明确</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（五）不予处理</w:t>
            </w: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.信访举报投诉类申请</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.重复申请</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9" w:hRule="atLeast"/>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.要求提供公开出版物</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4</w:t>
            </w:r>
            <w:r>
              <w:rPr>
                <w:rFonts w:hint="eastAsia" w:eastAsia="宋体" w:cs="宋体"/>
                <w:color w:val="000000" w:themeColor="text1"/>
                <w:kern w:val="0"/>
                <w:sz w:val="20"/>
                <w:lang w:bidi="ar"/>
                <w14:textFill>
                  <w14:solidFill>
                    <w14:schemeClr w14:val="tx1"/>
                  </w14:solidFill>
                </w14:textFill>
              </w:rPr>
              <w:t>.无正当理由大量反复申请</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5</w:t>
            </w:r>
            <w:r>
              <w:rPr>
                <w:rFonts w:hint="eastAsia" w:eastAsia="宋体" w:cs="宋体"/>
                <w:color w:val="000000" w:themeColor="text1"/>
                <w:kern w:val="0"/>
                <w:sz w:val="20"/>
                <w:lang w:bidi="ar"/>
                <w14:textFill>
                  <w14:solidFill>
                    <w14:schemeClr w14:val="tx1"/>
                  </w14:solidFill>
                </w14:textFill>
              </w:rPr>
              <w:t>.要求行政机关确认或重新出具已获取信息</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restart"/>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（六）其他处理</w:t>
            </w: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1</w:t>
            </w:r>
            <w:r>
              <w:rPr>
                <w:rFonts w:hint="eastAsia" w:eastAsia="宋体" w:cs="宋体"/>
                <w:color w:val="000000" w:themeColor="text1"/>
                <w:kern w:val="0"/>
                <w:sz w:val="20"/>
                <w:lang w:bidi="ar"/>
                <w14:textFill>
                  <w14:solidFill>
                    <w14:schemeClr w14:val="tx1"/>
                  </w14:solidFill>
                </w14:textFill>
              </w:rPr>
              <w:t>.申请人无正当理由逾期不补正、行政机关不再处理其政府信息公开申请</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2</w:t>
            </w:r>
            <w:r>
              <w:rPr>
                <w:rFonts w:hint="eastAsia" w:eastAsia="宋体" w:cs="宋体"/>
                <w:color w:val="000000" w:themeColor="text1"/>
                <w:kern w:val="0"/>
                <w:sz w:val="20"/>
                <w:lang w:bidi="ar"/>
                <w14:textFill>
                  <w14:solidFill>
                    <w14:schemeClr w14:val="tx1"/>
                  </w14:solidFill>
                </w14:textFill>
              </w:rPr>
              <w:t>.申请人逾期未按收费通知要求缴纳费用、行政机关不再处理其政府信息公开申请</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943"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3221" w:type="dxa"/>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default" w:ascii="Times New Roman" w:hAnsi="Times New Roman" w:eastAsia="宋体" w:cs="Times New Roman"/>
                <w:color w:val="000000" w:themeColor="text1"/>
                <w:kern w:val="0"/>
                <w:sz w:val="20"/>
                <w:lang w:bidi="ar"/>
                <w14:textFill>
                  <w14:solidFill>
                    <w14:schemeClr w14:val="tx1"/>
                  </w14:solidFill>
                </w14:textFill>
              </w:rPr>
              <w:t>3</w:t>
            </w:r>
            <w:r>
              <w:rPr>
                <w:rFonts w:hint="eastAsia" w:eastAsia="宋体" w:cs="宋体"/>
                <w:color w:val="000000" w:themeColor="text1"/>
                <w:kern w:val="0"/>
                <w:sz w:val="20"/>
                <w:lang w:bidi="ar"/>
                <w14:textFill>
                  <w14:solidFill>
                    <w14:schemeClr w14:val="tx1"/>
                  </w14:solidFill>
                </w14:textFill>
              </w:rPr>
              <w:t>.其他</w:t>
            </w:r>
          </w:p>
        </w:tc>
        <w:tc>
          <w:tcPr>
            <w:tcW w:w="688" w:type="dxa"/>
            <w:shd w:val="clear" w:color="auto" w:fill="auto"/>
            <w:tcMar>
              <w:left w:w="57" w:type="dxa"/>
              <w:right w:w="57" w:type="dxa"/>
            </w:tcMar>
            <w:vAlign w:val="center"/>
          </w:tcPr>
          <w:p>
            <w:pPr>
              <w:widowControl/>
              <w:jc w:val="center"/>
              <w:rPr>
                <w:rFonts w:hint="default"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color w:val="000000" w:themeColor="text1"/>
                <w:sz w:val="24"/>
                <w:szCs w:val="24"/>
                <w14:textFill>
                  <w14:solidFill>
                    <w14:schemeClr w14:val="tx1"/>
                  </w14:solidFill>
                </w14:textFill>
              </w:rPr>
            </w:pPr>
          </w:p>
        </w:tc>
        <w:tc>
          <w:tcPr>
            <w:tcW w:w="4164" w:type="dxa"/>
            <w:gridSpan w:val="2"/>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（七）总计</w:t>
            </w:r>
          </w:p>
        </w:tc>
        <w:tc>
          <w:tcPr>
            <w:tcW w:w="688" w:type="dxa"/>
            <w:shd w:val="clear" w:color="auto" w:fill="auto"/>
            <w:tcMar>
              <w:left w:w="57" w:type="dxa"/>
              <w:right w:w="57" w:type="dxa"/>
            </w:tcMar>
            <w:vAlign w:val="center"/>
          </w:tcPr>
          <w:p>
            <w:pPr>
              <w:widowControl/>
              <w:jc w:val="center"/>
              <w:rPr>
                <w:rFonts w:hint="default"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27</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四、结转下年度继续办理</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1</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rFonts w:hint="eastAsia" w:eastAsiaTheme="minorEastAsia"/>
                <w:color w:val="000000" w:themeColor="text1"/>
                <w:lang w:val="en-US" w:eastAsia="zh-CN"/>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8" w:type="dxa"/>
            <w:shd w:val="clear" w:color="auto" w:fill="auto"/>
            <w:tcMar>
              <w:left w:w="57" w:type="dxa"/>
              <w:right w:w="57" w:type="dxa"/>
            </w:tcMar>
            <w:vAlign w:val="center"/>
          </w:tcPr>
          <w:p>
            <w:pPr>
              <w:widowControl/>
              <w:jc w:val="center"/>
              <w:rPr>
                <w:color w:val="000000" w:themeColor="text1"/>
                <w14:textFill>
                  <w14:solidFill>
                    <w14:schemeClr w14:val="tx1"/>
                  </w14:solidFill>
                </w14:textFill>
              </w:rPr>
            </w:pPr>
            <w:r>
              <w:rPr>
                <w:rFonts w:hint="eastAsia" w:cs="Calibri" w:eastAsiaTheme="minorEastAsia"/>
                <w:color w:val="000000" w:themeColor="text1"/>
                <w:kern w:val="0"/>
                <w:sz w:val="20"/>
                <w:lang w:val="en-US" w:eastAsia="zh-CN" w:bidi="ar"/>
                <w14:textFill>
                  <w14:solidFill>
                    <w14:schemeClr w14:val="tx1"/>
                  </w14:solidFill>
                </w14:textFill>
              </w:rPr>
              <w:t>0</w:t>
            </w:r>
          </w:p>
        </w:tc>
        <w:tc>
          <w:tcPr>
            <w:tcW w:w="689" w:type="dxa"/>
            <w:shd w:val="clear" w:color="auto" w:fill="auto"/>
            <w:tcMar>
              <w:left w:w="57" w:type="dxa"/>
              <w:right w:w="57" w:type="dxa"/>
            </w:tcMar>
            <w:vAlign w:val="center"/>
          </w:tcPr>
          <w:p>
            <w:pPr>
              <w:jc w:val="center"/>
              <w:rPr>
                <w:rFonts w:hint="eastAsia" w:eastAsia="方正仿宋_GBK"/>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r>
    </w:tbl>
    <w:p>
      <w:pPr>
        <w:spacing w:line="600" w:lineRule="exact"/>
        <w:ind w:firstLine="640" w:firstLineChars="200"/>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四、政府信息公开行政复议、行政诉讼情况</w:t>
      </w:r>
    </w:p>
    <w:tbl>
      <w:tblPr>
        <w:tblStyle w:val="5"/>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324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行政复议</w:t>
            </w:r>
          </w:p>
        </w:tc>
        <w:tc>
          <w:tcPr>
            <w:tcW w:w="6503" w:type="dxa"/>
            <w:gridSpan w:val="10"/>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结果维持</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49" w:type="dxa"/>
            <w:vMerge w:val="restart"/>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3248"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未经复议直接起诉</w:t>
            </w:r>
          </w:p>
        </w:tc>
        <w:tc>
          <w:tcPr>
            <w:tcW w:w="3255" w:type="dxa"/>
            <w:gridSpan w:val="5"/>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vMerge w:val="continue"/>
            <w:shd w:val="clear" w:color="auto" w:fill="auto"/>
            <w:tcMar>
              <w:left w:w="108" w:type="dxa"/>
              <w:right w:w="108" w:type="dxa"/>
            </w:tcMar>
            <w:vAlign w:val="center"/>
          </w:tcPr>
          <w:p>
            <w:pPr>
              <w:rPr>
                <w:color w:val="000000" w:themeColor="text1"/>
                <w:sz w:val="24"/>
                <w:szCs w:val="24"/>
                <w14:textFill>
                  <w14:solidFill>
                    <w14:schemeClr w14:val="tx1"/>
                  </w14:solidFill>
                </w14:textFill>
              </w:rPr>
            </w:pP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0"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维持</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结果</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纠正</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其他</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结果</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尚未</w:t>
            </w:r>
            <w:r>
              <w:rPr>
                <w:rFonts w:hint="eastAsia" w:eastAsia="宋体" w:cs="宋体"/>
                <w:color w:val="000000" w:themeColor="text1"/>
                <w:kern w:val="0"/>
                <w:sz w:val="20"/>
                <w:lang w:bidi="ar"/>
                <w14:textFill>
                  <w14:solidFill>
                    <w14:schemeClr w14:val="tx1"/>
                  </w14:solidFill>
                </w14:textFill>
              </w:rPr>
              <w:br w:type="textWrapping"/>
            </w:r>
            <w:r>
              <w:rPr>
                <w:rFonts w:hint="eastAsia" w:eastAsia="宋体" w:cs="宋体"/>
                <w:color w:val="000000" w:themeColor="text1"/>
                <w:kern w:val="0"/>
                <w:sz w:val="20"/>
                <w:lang w:bidi="ar"/>
                <w14:textFill>
                  <w14:solidFill>
                    <w14:schemeClr w14:val="tx1"/>
                  </w14:solidFill>
                </w14:textFill>
              </w:rPr>
              <w:t>审结</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宋体" w:cs="宋体"/>
                <w:color w:val="000000" w:themeColor="text1"/>
                <w:kern w:val="0"/>
                <w:sz w:val="20"/>
                <w:lang w:bidi="ar"/>
                <w14:textFill>
                  <w14:solidFill>
                    <w14:schemeClr w14:val="tx1"/>
                  </w14:solidFill>
                </w14:textFill>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72" w:hRule="atLeast"/>
          <w:jc w:val="center"/>
        </w:trPr>
        <w:tc>
          <w:tcPr>
            <w:tcW w:w="649"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1</w:t>
            </w:r>
          </w:p>
        </w:tc>
        <w:tc>
          <w:tcPr>
            <w:tcW w:w="649" w:type="dxa"/>
            <w:shd w:val="clear" w:color="auto" w:fill="auto"/>
            <w:tcMar>
              <w:left w:w="108" w:type="dxa"/>
              <w:right w:w="108" w:type="dxa"/>
            </w:tcMar>
            <w:vAlign w:val="center"/>
          </w:tcPr>
          <w:p>
            <w:pPr>
              <w:widowControl/>
              <w:jc w:val="center"/>
              <w:rPr>
                <w:rFonts w:hint="default"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10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1</w:t>
            </w:r>
          </w:p>
        </w:tc>
        <w:tc>
          <w:tcPr>
            <w:tcW w:w="649"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rFonts w:hint="default"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12</w:t>
            </w:r>
          </w:p>
        </w:tc>
        <w:tc>
          <w:tcPr>
            <w:tcW w:w="649"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49"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r>
              <w:rPr>
                <w:rFonts w:hint="eastAsia" w:eastAsia="黑体" w:cs="黑体"/>
                <w:color w:val="000000" w:themeColor="text1"/>
                <w:kern w:val="0"/>
                <w:sz w:val="20"/>
                <w:lang w:bidi="ar"/>
                <w14:textFill>
                  <w14:solidFill>
                    <w14:schemeClr w14:val="tx1"/>
                  </w14:solidFill>
                </w14:textFill>
              </w:rPr>
              <w:t> </w:t>
            </w:r>
          </w:p>
        </w:tc>
        <w:tc>
          <w:tcPr>
            <w:tcW w:w="650"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0"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0"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1</w:t>
            </w:r>
          </w:p>
        </w:tc>
        <w:tc>
          <w:tcPr>
            <w:tcW w:w="651"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widowControl/>
              <w:jc w:val="center"/>
              <w:rPr>
                <w:color w:val="000000" w:themeColor="text1"/>
                <w14:textFill>
                  <w14:solidFill>
                    <w14:schemeClr w14:val="tx1"/>
                  </w14:solidFill>
                </w14:textFill>
              </w:rPr>
            </w:pPr>
            <w:r>
              <w:rPr>
                <w:rFonts w:hint="eastAsia" w:eastAsia="黑体" w:cs="黑体"/>
                <w:color w:val="000000" w:themeColor="text1"/>
                <w:kern w:val="0"/>
                <w:sz w:val="20"/>
                <w:lang w:val="en-US" w:eastAsia="zh-CN" w:bidi="ar"/>
                <w14:textFill>
                  <w14:solidFill>
                    <w14:schemeClr w14:val="tx1"/>
                  </w14:solidFill>
                </w14:textFill>
              </w:rPr>
              <w:t>0</w:t>
            </w:r>
            <w:r>
              <w:rPr>
                <w:rFonts w:hint="eastAsia" w:eastAsia="黑体" w:cs="黑体"/>
                <w:color w:val="000000" w:themeColor="text1"/>
                <w:kern w:val="0"/>
                <w:sz w:val="20"/>
                <w:lang w:bidi="ar"/>
                <w14:textFill>
                  <w14:solidFill>
                    <w14:schemeClr w14:val="tx1"/>
                  </w14:solidFill>
                </w14:textFill>
              </w:rPr>
              <w:t> </w:t>
            </w:r>
          </w:p>
        </w:tc>
        <w:tc>
          <w:tcPr>
            <w:tcW w:w="651" w:type="dxa"/>
            <w:shd w:val="clear" w:color="auto" w:fill="auto"/>
            <w:tcMar>
              <w:left w:w="108" w:type="dxa"/>
              <w:right w:w="108" w:type="dxa"/>
            </w:tcMar>
            <w:vAlign w:val="center"/>
          </w:tcPr>
          <w:p>
            <w:pPr>
              <w:widowControl/>
              <w:jc w:val="center"/>
              <w:rPr>
                <w:rFonts w:hint="eastAsia" w:eastAsia="黑体"/>
                <w:color w:val="000000" w:themeColor="text1"/>
                <w:lang w:val="en-US" w:eastAsia="zh-CN"/>
                <w14:textFill>
                  <w14:solidFill>
                    <w14:schemeClr w14:val="tx1"/>
                  </w14:solidFill>
                </w14:textFill>
              </w:rPr>
            </w:pPr>
            <w:r>
              <w:rPr>
                <w:rFonts w:hint="eastAsia" w:eastAsia="黑体" w:cs="黑体"/>
                <w:color w:val="000000" w:themeColor="text1"/>
                <w:kern w:val="0"/>
                <w:sz w:val="20"/>
                <w:lang w:bidi="ar"/>
                <w14:textFill>
                  <w14:solidFill>
                    <w14:schemeClr w14:val="tx1"/>
                  </w14:solidFill>
                </w14:textFill>
              </w:rPr>
              <w:t> </w:t>
            </w:r>
            <w:r>
              <w:rPr>
                <w:rFonts w:hint="eastAsia" w:eastAsia="黑体" w:cs="黑体"/>
                <w:color w:val="000000" w:themeColor="text1"/>
                <w:kern w:val="0"/>
                <w:sz w:val="20"/>
                <w:lang w:val="en-US" w:eastAsia="zh-CN" w:bidi="ar"/>
                <w14:textFill>
                  <w14:solidFill>
                    <w14:schemeClr w14:val="tx1"/>
                  </w14:solidFill>
                </w14:textFill>
              </w:rPr>
              <w:t>0</w:t>
            </w:r>
          </w:p>
        </w:tc>
        <w:tc>
          <w:tcPr>
            <w:tcW w:w="651" w:type="dxa"/>
            <w:shd w:val="clear" w:color="auto" w:fill="auto"/>
            <w:tcMar>
              <w:left w:w="108" w:type="dxa"/>
              <w:right w:w="108" w:type="dxa"/>
            </w:tcMar>
            <w:vAlign w:val="center"/>
          </w:tcPr>
          <w:p>
            <w:pPr>
              <w:rPr>
                <w:rFonts w:hint="default" w:eastAsia="方正仿宋_GBK"/>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五、存在的主要问题及改进情况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color w:val="000000" w:themeColor="text1"/>
          <w:szCs w:val="32"/>
          <w14:textFill>
            <w14:solidFill>
              <w14:schemeClr w14:val="tx1"/>
            </w14:solidFill>
          </w14:textFill>
        </w:rPr>
      </w:pPr>
      <w:r>
        <w:rPr>
          <w:rFonts w:hint="eastAsia"/>
          <w:color w:val="000000" w:themeColor="text1"/>
          <w:szCs w:val="32"/>
          <w14:textFill>
            <w14:solidFill>
              <w14:schemeClr w14:val="tx1"/>
            </w14:solidFill>
          </w14:textFill>
        </w:rPr>
        <w:t>202</w:t>
      </w:r>
      <w:r>
        <w:rPr>
          <w:rFonts w:hint="eastAsia"/>
          <w:color w:val="000000" w:themeColor="text1"/>
          <w:szCs w:val="32"/>
          <w:lang w:val="en-US" w:eastAsia="zh-CN"/>
          <w14:textFill>
            <w14:solidFill>
              <w14:schemeClr w14:val="tx1"/>
            </w14:solidFill>
          </w14:textFill>
        </w:rPr>
        <w:t>4</w:t>
      </w:r>
      <w:r>
        <w:rPr>
          <w:rFonts w:hint="eastAsia"/>
          <w:color w:val="000000" w:themeColor="text1"/>
          <w:szCs w:val="32"/>
          <w14:textFill>
            <w14:solidFill>
              <w14:schemeClr w14:val="tx1"/>
            </w14:solidFill>
          </w14:textFill>
        </w:rPr>
        <w:t>年</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我局的政府信息公开工作虽然取得了一定成效，但仍然存在日常管理还不够主动细致，政务公开自查自纠能力不足，网站纠错对第三方、政务管理部门的依赖性较强等问题。为此，202</w:t>
      </w:r>
      <w:r>
        <w:rPr>
          <w:rFonts w:hint="eastAsia"/>
          <w:color w:val="000000" w:themeColor="text1"/>
          <w:szCs w:val="32"/>
          <w:lang w:val="en-US" w:eastAsia="zh-CN"/>
          <w14:textFill>
            <w14:solidFill>
              <w14:schemeClr w14:val="tx1"/>
            </w14:solidFill>
          </w14:textFill>
        </w:rPr>
        <w:t>5</w:t>
      </w:r>
      <w:r>
        <w:rPr>
          <w:rFonts w:hint="eastAsia"/>
          <w:color w:val="000000" w:themeColor="text1"/>
          <w:szCs w:val="32"/>
          <w14:textFill>
            <w14:solidFill>
              <w14:schemeClr w14:val="tx1"/>
            </w14:solidFill>
          </w14:textFill>
        </w:rPr>
        <w:t>年，将从以下两个方面进行改进：一是</w:t>
      </w:r>
      <w:r>
        <w:rPr>
          <w:rFonts w:hint="eastAsia"/>
          <w:color w:val="000000" w:themeColor="text1"/>
          <w:szCs w:val="32"/>
          <w:lang w:eastAsia="zh-CN"/>
          <w14:textFill>
            <w14:solidFill>
              <w14:schemeClr w14:val="tx1"/>
            </w14:solidFill>
          </w14:textFill>
        </w:rPr>
        <w:t>进一步</w:t>
      </w:r>
      <w:r>
        <w:rPr>
          <w:rFonts w:hint="eastAsia"/>
          <w:color w:val="000000" w:themeColor="text1"/>
          <w:szCs w:val="32"/>
          <w14:textFill>
            <w14:solidFill>
              <w14:schemeClr w14:val="tx1"/>
            </w14:solidFill>
          </w14:textFill>
        </w:rPr>
        <w:t>加强自查自纠，及时发现存在的问题，确保政务信息更新及时、内容规范；二是</w:t>
      </w:r>
      <w:r>
        <w:rPr>
          <w:rFonts w:hint="eastAsia"/>
          <w:color w:val="000000" w:themeColor="text1"/>
          <w:szCs w:val="32"/>
          <w:lang w:eastAsia="zh-CN"/>
          <w14:textFill>
            <w14:solidFill>
              <w14:schemeClr w14:val="tx1"/>
            </w14:solidFill>
          </w14:textFill>
        </w:rPr>
        <w:t>进一步</w:t>
      </w:r>
      <w:r>
        <w:rPr>
          <w:rFonts w:hint="eastAsia"/>
          <w:color w:val="000000" w:themeColor="text1"/>
          <w:szCs w:val="32"/>
          <w14:textFill>
            <w14:solidFill>
              <w14:schemeClr w14:val="tx1"/>
            </w14:solidFill>
          </w14:textFill>
        </w:rPr>
        <w:t>加强培训引导，加大对相关业务科室的督促指导，加强信息审核</w:t>
      </w:r>
      <w:r>
        <w:rPr>
          <w:rFonts w:hint="eastAsia"/>
          <w:color w:val="000000" w:themeColor="text1"/>
          <w:szCs w:val="32"/>
          <w:lang w:eastAsia="zh-CN"/>
          <w14:textFill>
            <w14:solidFill>
              <w14:schemeClr w14:val="tx1"/>
            </w14:solidFill>
          </w14:textFill>
        </w:rPr>
        <w:t>，</w:t>
      </w:r>
      <w:r>
        <w:rPr>
          <w:rFonts w:hint="eastAsia"/>
          <w:color w:val="000000" w:themeColor="text1"/>
          <w:szCs w:val="32"/>
          <w14:textFill>
            <w14:solidFill>
              <w14:schemeClr w14:val="tx1"/>
            </w14:solidFill>
          </w14:textFill>
        </w:rPr>
        <w:t>提高信息公开质量。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方正黑体_GBK" w:eastAsia="方正黑体_GBK" w:cs="方正黑体_GBK"/>
          <w:color w:val="000000" w:themeColor="text1"/>
          <w:szCs w:val="32"/>
          <w14:textFill>
            <w14:solidFill>
              <w14:schemeClr w14:val="tx1"/>
            </w14:solidFill>
          </w14:textFill>
        </w:rPr>
      </w:pPr>
      <w:r>
        <w:rPr>
          <w:rFonts w:hint="eastAsia" w:ascii="方正黑体_GBK" w:hAnsi="方正黑体_GBK" w:eastAsia="方正黑体_GBK" w:cs="方正黑体_GBK"/>
          <w:color w:val="000000" w:themeColor="text1"/>
          <w:szCs w:val="32"/>
          <w14:textFill>
            <w14:solidFill>
              <w14:schemeClr w14:val="tx1"/>
            </w14:solidFill>
          </w14:textFill>
        </w:rPr>
        <w:t>六、其他需要报告的事项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pPr>
      <w:r>
        <w:t>本机关严格落实《政府信息公开条例》要求，完成政务公开各项工作。本机关</w:t>
      </w:r>
      <w:r>
        <w:rPr>
          <w:rFonts w:hint="eastAsia"/>
          <w:lang w:eastAsia="zh-CN"/>
        </w:rPr>
        <w:t>本年度</w:t>
      </w:r>
      <w:r>
        <w:t>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E2A7B"/>
    <w:rsid w:val="05C25C1B"/>
    <w:rsid w:val="0729347C"/>
    <w:rsid w:val="089E2A7B"/>
    <w:rsid w:val="0A213CF4"/>
    <w:rsid w:val="0A7E6D56"/>
    <w:rsid w:val="13ED1A3D"/>
    <w:rsid w:val="14CB202B"/>
    <w:rsid w:val="22A51150"/>
    <w:rsid w:val="26CB1A16"/>
    <w:rsid w:val="2DCD42C6"/>
    <w:rsid w:val="343E5F1E"/>
    <w:rsid w:val="3A647D60"/>
    <w:rsid w:val="3F2B709E"/>
    <w:rsid w:val="42F808FB"/>
    <w:rsid w:val="494171CB"/>
    <w:rsid w:val="4B844FE1"/>
    <w:rsid w:val="4DED0341"/>
    <w:rsid w:val="4EA50661"/>
    <w:rsid w:val="51D8034A"/>
    <w:rsid w:val="53D855EF"/>
    <w:rsid w:val="581831B2"/>
    <w:rsid w:val="60DB227B"/>
    <w:rsid w:val="632E3039"/>
    <w:rsid w:val="64432611"/>
    <w:rsid w:val="65AE5912"/>
    <w:rsid w:val="68F563FB"/>
    <w:rsid w:val="6AFF300A"/>
    <w:rsid w:val="6B2A658B"/>
    <w:rsid w:val="6BBE4C73"/>
    <w:rsid w:val="6C382C77"/>
    <w:rsid w:val="6E2544C0"/>
    <w:rsid w:val="733C02E1"/>
    <w:rsid w:val="73993FFB"/>
    <w:rsid w:val="75BC66C7"/>
    <w:rsid w:val="7E9C43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1878</Words>
  <Characters>1933</Characters>
  <Lines>0</Lines>
  <Paragraphs>0</Paragraphs>
  <TotalTime>0</TotalTime>
  <ScaleCrop>false</ScaleCrop>
  <LinksUpToDate>false</LinksUpToDate>
  <CharactersWithSpaces>1958</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2025-01-10T06:59:00Z</dcterms:created>
  <dc:creator>WPS_1576481699</dc:creator>
  <cp:lastModifiedBy>谭晓倩</cp:lastModifiedBy>
  <cp:lastPrinted>2025-01-14T01:32:00Z</cp:lastPrinted>
  <dcterms:modified xsi:type="dcterms:W3CDTF">2025-01-23T02:42:55Z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y fmtid="{D5CDD505-2E9C-101B-9397-08002B2CF9AE}" pid="3" name="ICV">
    <vt:lpwstr>9520EF201ADC49A48D22DFFDEC364409_11</vt:lpwstr>
  </property>
  <property fmtid="{D5CDD505-2E9C-101B-9397-08002B2CF9AE}" pid="4" name="KSOTemplateDocerSaveRecord">
    <vt:lpwstr>eyJoZGlkIjoiZGZkYmNkNTAzZDVhOGE0NDFjZDlkM2RmOTYwOWY5NjIiLCJ1c2VySWQiOiI3MzY2ODAwNjAifQ==</vt:lpwstr>
  </property>
</Properties>
</file>