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重庆市荣昌区市场监督管理局</w:t>
      </w:r>
    </w:p>
    <w:p>
      <w:pPr>
        <w:spacing w:line="600" w:lineRule="exact"/>
        <w:ind w:firstLine="880" w:firstLineChars="20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w:t>
      </w:r>
      <w:r>
        <w:rPr>
          <w:rFonts w:hint="default" w:ascii="Times New Roman" w:hAnsi="Times New Roman" w:eastAsia="方正小标宋_GBK" w:cs="Times New Roman"/>
          <w:color w:val="000000"/>
          <w:sz w:val="44"/>
          <w:szCs w:val="44"/>
          <w:lang w:val="en"/>
        </w:rPr>
        <w:t>4</w:t>
      </w:r>
      <w:r>
        <w:rPr>
          <w:rFonts w:hint="default" w:ascii="Times New Roman" w:hAnsi="Times New Roman" w:eastAsia="方正小标宋_GBK" w:cs="Times New Roman"/>
          <w:color w:val="000000"/>
          <w:sz w:val="44"/>
          <w:szCs w:val="44"/>
        </w:rPr>
        <w:t>年政府信息公开工作年度报告</w:t>
      </w:r>
    </w:p>
    <w:p>
      <w:pPr>
        <w:spacing w:line="600" w:lineRule="exact"/>
        <w:ind w:firstLine="640" w:firstLineChars="200"/>
        <w:rPr>
          <w:rFonts w:hint="default" w:ascii="Times New Roman" w:hAnsi="Times New Roman" w:cs="Times New Roman"/>
          <w:color w:val="000000"/>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总体情况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eastAsia="方正黑体_GBK" w:cs="Times New Roman"/>
          <w:color w:val="000000"/>
          <w:szCs w:val="32"/>
        </w:rPr>
      </w:pPr>
      <w:r>
        <w:rPr>
          <w:rFonts w:hint="default" w:cs="Times New Roman"/>
          <w:i w:val="0"/>
          <w:caps w:val="0"/>
          <w:color w:val="000000"/>
          <w:spacing w:val="0"/>
          <w:kern w:val="0"/>
          <w:sz w:val="31"/>
          <w:szCs w:val="31"/>
          <w:lang w:val="en-US" w:eastAsia="zh-CN" w:bidi="ar"/>
        </w:rPr>
        <w:t>202</w:t>
      </w:r>
      <w:r>
        <w:rPr>
          <w:rFonts w:hint="eastAsia" w:cs="Times New Roman"/>
          <w:i w:val="0"/>
          <w:caps w:val="0"/>
          <w:color w:val="000000"/>
          <w:spacing w:val="0"/>
          <w:kern w:val="0"/>
          <w:sz w:val="31"/>
          <w:szCs w:val="31"/>
          <w:lang w:val="en-US" w:eastAsia="zh-CN" w:bidi="ar"/>
        </w:rPr>
        <w:t>4</w:t>
      </w:r>
      <w:r>
        <w:rPr>
          <w:rFonts w:hint="default" w:cs="Times New Roman"/>
          <w:i w:val="0"/>
          <w:caps w:val="0"/>
          <w:color w:val="000000"/>
          <w:spacing w:val="0"/>
          <w:kern w:val="0"/>
          <w:sz w:val="31"/>
          <w:szCs w:val="31"/>
          <w:lang w:val="en-US" w:eastAsia="zh-CN" w:bidi="ar"/>
        </w:rPr>
        <w:t>年</w:t>
      </w:r>
      <w:r>
        <w:rPr>
          <w:rFonts w:hint="eastAsia" w:cs="Times New Roman"/>
          <w:i w:val="0"/>
          <w:caps w:val="0"/>
          <w:color w:val="000000"/>
          <w:spacing w:val="0"/>
          <w:kern w:val="0"/>
          <w:sz w:val="31"/>
          <w:szCs w:val="31"/>
          <w:lang w:val="en-US" w:eastAsia="zh-CN" w:bidi="ar"/>
        </w:rPr>
        <w:t>来</w:t>
      </w:r>
      <w:r>
        <w:rPr>
          <w:rFonts w:hint="default" w:cs="Times New Roman"/>
          <w:i w:val="0"/>
          <w:caps w:val="0"/>
          <w:color w:val="000000"/>
          <w:spacing w:val="0"/>
          <w:kern w:val="0"/>
          <w:sz w:val="31"/>
          <w:szCs w:val="31"/>
          <w:lang w:val="en-US" w:eastAsia="zh-CN" w:bidi="ar"/>
        </w:rPr>
        <w:t>，</w:t>
      </w:r>
      <w:r>
        <w:rPr>
          <w:rFonts w:hint="eastAsia" w:cs="Times New Roman"/>
          <w:i w:val="0"/>
          <w:caps w:val="0"/>
          <w:color w:val="000000"/>
          <w:spacing w:val="0"/>
          <w:kern w:val="0"/>
          <w:sz w:val="31"/>
          <w:szCs w:val="31"/>
          <w:lang w:val="en-US" w:eastAsia="zh-CN" w:bidi="ar"/>
        </w:rPr>
        <w:t>重庆市荣昌区市场监督管理局全面深入学习贯彻习近平新时代中国特色社会主义思想，严格执行法治政府建设要求，按照</w:t>
      </w:r>
      <w:r>
        <w:rPr>
          <w:rFonts w:hint="default" w:cs="Times New Roman"/>
          <w:i w:val="0"/>
          <w:caps w:val="0"/>
          <w:color w:val="000000"/>
          <w:spacing w:val="0"/>
          <w:kern w:val="0"/>
          <w:sz w:val="31"/>
          <w:szCs w:val="31"/>
          <w:lang w:val="en-US" w:eastAsia="zh-CN" w:bidi="ar"/>
        </w:rPr>
        <w:t>《中华人民共和国政府信息公开条例》</w:t>
      </w:r>
      <w:r>
        <w:rPr>
          <w:rFonts w:hint="eastAsia" w:cs="Times New Roman"/>
          <w:i w:val="0"/>
          <w:caps w:val="0"/>
          <w:color w:val="000000"/>
          <w:spacing w:val="0"/>
          <w:kern w:val="0"/>
          <w:sz w:val="31"/>
          <w:szCs w:val="31"/>
          <w:lang w:val="en-US" w:eastAsia="zh-CN" w:bidi="ar"/>
        </w:rPr>
        <w:t>，依法做好政府信息公开工作，提升法治化、规范化水平，助推阳光法治政府建设。现将区局2024年政府信息公开工作年度报告向社会公开发布。报告中数据统计时限自</w:t>
      </w:r>
      <w:r>
        <w:rPr>
          <w:rFonts w:hint="default" w:cs="Times New Roman"/>
          <w:i w:val="0"/>
          <w:caps w:val="0"/>
          <w:color w:val="000000"/>
          <w:spacing w:val="0"/>
          <w:kern w:val="0"/>
          <w:sz w:val="31"/>
          <w:szCs w:val="31"/>
          <w:lang w:val="en-US" w:eastAsia="zh-CN" w:bidi="ar"/>
        </w:rPr>
        <w:t>202</w:t>
      </w:r>
      <w:r>
        <w:rPr>
          <w:rFonts w:hint="eastAsia" w:cs="Times New Roman"/>
          <w:i w:val="0"/>
          <w:caps w:val="0"/>
          <w:color w:val="000000"/>
          <w:spacing w:val="0"/>
          <w:kern w:val="0"/>
          <w:sz w:val="31"/>
          <w:szCs w:val="31"/>
          <w:lang w:val="en-US" w:eastAsia="zh-CN" w:bidi="ar"/>
        </w:rPr>
        <w:t>4年</w:t>
      </w:r>
      <w:r>
        <w:rPr>
          <w:rFonts w:hint="default" w:cs="Times New Roman"/>
          <w:i w:val="0"/>
          <w:caps w:val="0"/>
          <w:color w:val="000000"/>
          <w:spacing w:val="0"/>
          <w:kern w:val="0"/>
          <w:sz w:val="31"/>
          <w:szCs w:val="31"/>
          <w:lang w:val="en-US" w:eastAsia="zh-CN" w:bidi="ar"/>
        </w:rPr>
        <w:t>1</w:t>
      </w:r>
      <w:r>
        <w:rPr>
          <w:rFonts w:hint="eastAsia" w:cs="Times New Roman"/>
          <w:i w:val="0"/>
          <w:caps w:val="0"/>
          <w:color w:val="000000"/>
          <w:spacing w:val="0"/>
          <w:kern w:val="0"/>
          <w:sz w:val="31"/>
          <w:szCs w:val="31"/>
          <w:lang w:val="en-US" w:eastAsia="zh-CN" w:bidi="ar"/>
        </w:rPr>
        <w:t>月</w:t>
      </w:r>
      <w:r>
        <w:rPr>
          <w:rFonts w:hint="default" w:cs="Times New Roman"/>
          <w:i w:val="0"/>
          <w:caps w:val="0"/>
          <w:color w:val="000000"/>
          <w:spacing w:val="0"/>
          <w:kern w:val="0"/>
          <w:sz w:val="31"/>
          <w:szCs w:val="31"/>
          <w:lang w:val="en-US" w:eastAsia="zh-CN" w:bidi="ar"/>
        </w:rPr>
        <w:t>1</w:t>
      </w:r>
      <w:r>
        <w:rPr>
          <w:rFonts w:hint="eastAsia" w:cs="Times New Roman"/>
          <w:i w:val="0"/>
          <w:caps w:val="0"/>
          <w:color w:val="000000"/>
          <w:spacing w:val="0"/>
          <w:kern w:val="0"/>
          <w:sz w:val="31"/>
          <w:szCs w:val="31"/>
          <w:lang w:val="en-US" w:eastAsia="zh-CN" w:bidi="ar"/>
        </w:rPr>
        <w:t>日至</w:t>
      </w:r>
      <w:r>
        <w:rPr>
          <w:rFonts w:hint="default" w:cs="Times New Roman"/>
          <w:i w:val="0"/>
          <w:caps w:val="0"/>
          <w:color w:val="000000"/>
          <w:spacing w:val="0"/>
          <w:kern w:val="0"/>
          <w:sz w:val="31"/>
          <w:szCs w:val="31"/>
          <w:lang w:val="en-US" w:eastAsia="zh-CN" w:bidi="ar"/>
        </w:rPr>
        <w:t>202</w:t>
      </w:r>
      <w:r>
        <w:rPr>
          <w:rFonts w:hint="eastAsia" w:cs="Times New Roman"/>
          <w:i w:val="0"/>
          <w:caps w:val="0"/>
          <w:color w:val="000000"/>
          <w:spacing w:val="0"/>
          <w:kern w:val="0"/>
          <w:sz w:val="31"/>
          <w:szCs w:val="31"/>
          <w:lang w:val="en-US" w:eastAsia="zh-CN" w:bidi="ar"/>
        </w:rPr>
        <w:t>4年</w:t>
      </w:r>
      <w:r>
        <w:rPr>
          <w:rFonts w:hint="default" w:cs="Times New Roman"/>
          <w:i w:val="0"/>
          <w:caps w:val="0"/>
          <w:color w:val="000000"/>
          <w:spacing w:val="0"/>
          <w:kern w:val="0"/>
          <w:sz w:val="31"/>
          <w:szCs w:val="31"/>
          <w:lang w:val="en-US" w:eastAsia="zh-CN" w:bidi="ar"/>
        </w:rPr>
        <w:t>12</w:t>
      </w:r>
      <w:r>
        <w:rPr>
          <w:rFonts w:hint="eastAsia" w:cs="Times New Roman"/>
          <w:i w:val="0"/>
          <w:caps w:val="0"/>
          <w:color w:val="000000"/>
          <w:spacing w:val="0"/>
          <w:kern w:val="0"/>
          <w:sz w:val="31"/>
          <w:szCs w:val="31"/>
          <w:lang w:val="en-US" w:eastAsia="zh-CN" w:bidi="ar"/>
        </w:rPr>
        <w:t>月</w:t>
      </w:r>
      <w:r>
        <w:rPr>
          <w:rFonts w:hint="default" w:cs="Times New Roman"/>
          <w:i w:val="0"/>
          <w:caps w:val="0"/>
          <w:color w:val="000000"/>
          <w:spacing w:val="0"/>
          <w:kern w:val="0"/>
          <w:sz w:val="31"/>
          <w:szCs w:val="31"/>
          <w:lang w:val="en-US" w:eastAsia="zh-CN" w:bidi="ar"/>
        </w:rPr>
        <w:t>31</w:t>
      </w:r>
      <w:r>
        <w:rPr>
          <w:rFonts w:hint="eastAsia" w:cs="Times New Roman"/>
          <w:i w:val="0"/>
          <w:caps w:val="0"/>
          <w:color w:val="000000"/>
          <w:spacing w:val="0"/>
          <w:kern w:val="0"/>
          <w:sz w:val="31"/>
          <w:szCs w:val="31"/>
          <w:lang w:val="en-US" w:eastAsia="zh-CN" w:bidi="ar"/>
        </w:rPr>
        <w:t>日</w:t>
      </w:r>
      <w:r>
        <w:rPr>
          <w:rFonts w:hint="default" w:cs="Times New Roman"/>
          <w:i w:val="0"/>
          <w:caps w:val="0"/>
          <w:color w:val="000000"/>
          <w:spacing w:val="0"/>
          <w:kern w:val="0"/>
          <w:sz w:val="31"/>
          <w:szCs w:val="31"/>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（一）主动公开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i w:val="0"/>
          <w:caps w:val="0"/>
          <w:color w:val="000000"/>
          <w:spacing w:val="0"/>
          <w:kern w:val="0"/>
          <w:sz w:val="31"/>
          <w:szCs w:val="31"/>
          <w:lang w:val="en-US" w:eastAsia="zh-CN" w:bidi="ar"/>
        </w:rPr>
        <w:t>截至2024年12月31日，</w:t>
      </w:r>
      <w:r>
        <w:rPr>
          <w:rFonts w:hint="eastAsia" w:cs="Times New Roman"/>
          <w:i w:val="0"/>
          <w:caps w:val="0"/>
          <w:color w:val="000000"/>
          <w:spacing w:val="0"/>
          <w:kern w:val="0"/>
          <w:sz w:val="31"/>
          <w:szCs w:val="31"/>
          <w:lang w:val="en-US" w:eastAsia="zh-CN" w:bidi="ar"/>
        </w:rPr>
        <w:t>区局通过政府网站和微信公众号</w:t>
      </w:r>
      <w:r>
        <w:rPr>
          <w:rFonts w:hint="default" w:ascii="Times New Roman" w:hAnsi="Times New Roman" w:eastAsia="方正仿宋_GBK" w:cs="Times New Roman"/>
          <w:i w:val="0"/>
          <w:caps w:val="0"/>
          <w:color w:val="000000"/>
          <w:spacing w:val="0"/>
          <w:kern w:val="0"/>
          <w:sz w:val="31"/>
          <w:szCs w:val="31"/>
          <w:lang w:val="en-US" w:eastAsia="zh-CN" w:bidi="ar"/>
        </w:rPr>
        <w:t>，</w:t>
      </w:r>
      <w:r>
        <w:rPr>
          <w:rFonts w:hint="default" w:ascii="Times New Roman" w:hAnsi="Times New Roman" w:cs="Times New Roman"/>
          <w:i w:val="0"/>
          <w:caps w:val="0"/>
          <w:color w:val="000000"/>
          <w:spacing w:val="0"/>
          <w:kern w:val="0"/>
          <w:sz w:val="31"/>
          <w:szCs w:val="31"/>
          <w:lang w:val="en-US" w:eastAsia="zh-CN" w:bidi="ar"/>
        </w:rPr>
        <w:t>围绕市场监管、行政执法等方面，</w:t>
      </w:r>
      <w:r>
        <w:rPr>
          <w:rFonts w:hint="eastAsia" w:cs="Times New Roman"/>
          <w:i w:val="0"/>
          <w:caps w:val="0"/>
          <w:color w:val="000000"/>
          <w:spacing w:val="0"/>
          <w:kern w:val="0"/>
          <w:sz w:val="31"/>
          <w:szCs w:val="31"/>
          <w:lang w:val="en-US" w:eastAsia="zh-CN" w:bidi="ar"/>
        </w:rPr>
        <w:t>在政府网站</w:t>
      </w:r>
      <w:r>
        <w:rPr>
          <w:rFonts w:hint="default" w:ascii="Times New Roman" w:hAnsi="Times New Roman" w:eastAsia="方正仿宋_GBK" w:cs="Times New Roman"/>
          <w:i w:val="0"/>
          <w:caps w:val="0"/>
          <w:color w:val="000000"/>
          <w:spacing w:val="0"/>
          <w:kern w:val="0"/>
          <w:sz w:val="31"/>
          <w:szCs w:val="31"/>
          <w:lang w:val="en-US" w:eastAsia="zh-CN" w:bidi="ar"/>
        </w:rPr>
        <w:t>发布信息</w:t>
      </w:r>
      <w:r>
        <w:rPr>
          <w:rFonts w:hint="default" w:ascii="Times New Roman" w:hAnsi="Times New Roman" w:cs="Times New Roman"/>
          <w:i w:val="0"/>
          <w:caps w:val="0"/>
          <w:color w:val="auto"/>
          <w:spacing w:val="0"/>
          <w:kern w:val="0"/>
          <w:sz w:val="31"/>
          <w:szCs w:val="31"/>
          <w:lang w:val="en-US" w:eastAsia="zh-CN" w:bidi="ar"/>
        </w:rPr>
        <w:t>502</w:t>
      </w:r>
      <w:r>
        <w:rPr>
          <w:rFonts w:hint="default" w:ascii="Times New Roman" w:hAnsi="Times New Roman" w:eastAsia="方正仿宋_GBK" w:cs="Times New Roman"/>
          <w:i w:val="0"/>
          <w:caps w:val="0"/>
          <w:color w:val="000000"/>
          <w:spacing w:val="0"/>
          <w:kern w:val="0"/>
          <w:sz w:val="31"/>
          <w:szCs w:val="31"/>
          <w:lang w:val="en-US" w:eastAsia="zh-CN" w:bidi="ar"/>
        </w:rPr>
        <w:t>条，微信公众号发布信息</w:t>
      </w:r>
      <w:r>
        <w:rPr>
          <w:rFonts w:hint="default" w:ascii="Times New Roman" w:hAnsi="Times New Roman" w:cs="Times New Roman"/>
          <w:i w:val="0"/>
          <w:caps w:val="0"/>
          <w:color w:val="auto"/>
          <w:spacing w:val="0"/>
          <w:kern w:val="0"/>
          <w:sz w:val="31"/>
          <w:szCs w:val="31"/>
          <w:lang w:val="en" w:eastAsia="zh-CN" w:bidi="ar"/>
        </w:rPr>
        <w:t>192</w:t>
      </w:r>
      <w:r>
        <w:rPr>
          <w:rFonts w:hint="default" w:ascii="Times New Roman" w:hAnsi="Times New Roman" w:eastAsia="方正仿宋_GBK" w:cs="Times New Roman"/>
          <w:i w:val="0"/>
          <w:caps w:val="0"/>
          <w:color w:val="000000"/>
          <w:spacing w:val="0"/>
          <w:kern w:val="0"/>
          <w:sz w:val="31"/>
          <w:szCs w:val="31"/>
          <w:lang w:val="en-US" w:eastAsia="zh-CN" w:bidi="ar"/>
        </w:rPr>
        <w:t>条，设置</w:t>
      </w:r>
      <w:r>
        <w:rPr>
          <w:rFonts w:hint="default" w:ascii="Times New Roman" w:hAnsi="Times New Roman" w:eastAsia="方正仿宋_GBK" w:cs="Times New Roman"/>
          <w:i w:val="0"/>
          <w:caps w:val="0"/>
          <w:color w:val="auto"/>
          <w:spacing w:val="0"/>
          <w:kern w:val="0"/>
          <w:sz w:val="31"/>
          <w:szCs w:val="31"/>
          <w:lang w:val="en-US" w:eastAsia="zh-CN" w:bidi="ar"/>
        </w:rPr>
        <w:t>政务公开线下查阅点</w:t>
      </w:r>
      <w:r>
        <w:rPr>
          <w:rFonts w:hint="default" w:ascii="Times New Roman" w:hAnsi="Times New Roman" w:eastAsia="方正仿宋_GBK" w:cs="Times New Roman"/>
          <w:i w:val="0"/>
          <w:caps w:val="0"/>
          <w:color w:val="000000"/>
          <w:spacing w:val="0"/>
          <w:kern w:val="0"/>
          <w:sz w:val="31"/>
          <w:szCs w:val="31"/>
          <w:lang w:val="en-US" w:eastAsia="zh-CN" w:bidi="ar"/>
        </w:rPr>
        <w:t>，</w:t>
      </w:r>
      <w:r>
        <w:rPr>
          <w:rFonts w:hint="eastAsia" w:cs="Times New Roman"/>
          <w:i w:val="0"/>
          <w:caps w:val="0"/>
          <w:color w:val="000000"/>
          <w:spacing w:val="0"/>
          <w:kern w:val="0"/>
          <w:sz w:val="31"/>
          <w:szCs w:val="31"/>
          <w:lang w:val="en-US" w:eastAsia="zh-CN" w:bidi="ar"/>
        </w:rPr>
        <w:t>持续</w:t>
      </w:r>
      <w:r>
        <w:rPr>
          <w:rFonts w:hint="default" w:ascii="Times New Roman" w:hAnsi="Times New Roman" w:cs="Times New Roman"/>
          <w:i w:val="0"/>
          <w:caps w:val="0"/>
          <w:color w:val="000000"/>
          <w:spacing w:val="0"/>
          <w:kern w:val="0"/>
          <w:sz w:val="31"/>
          <w:szCs w:val="31"/>
          <w:lang w:val="en-US" w:eastAsia="zh-CN" w:bidi="ar"/>
        </w:rPr>
        <w:t>做好</w:t>
      </w:r>
      <w:r>
        <w:rPr>
          <w:rFonts w:hint="default" w:ascii="Times New Roman" w:hAnsi="Times New Roman" w:eastAsia="方正仿宋_GBK" w:cs="Times New Roman"/>
          <w:i w:val="0"/>
          <w:caps w:val="0"/>
          <w:color w:val="000000"/>
          <w:spacing w:val="0"/>
          <w:kern w:val="0"/>
          <w:sz w:val="31"/>
          <w:szCs w:val="31"/>
          <w:lang w:val="en-US" w:eastAsia="zh-CN" w:bidi="ar"/>
        </w:rPr>
        <w:t>市场监管领域</w:t>
      </w:r>
      <w:r>
        <w:rPr>
          <w:rFonts w:hint="default" w:ascii="Times New Roman" w:hAnsi="Times New Roman" w:cs="Times New Roman"/>
          <w:i w:val="0"/>
          <w:caps w:val="0"/>
          <w:color w:val="000000"/>
          <w:spacing w:val="0"/>
          <w:kern w:val="0"/>
          <w:sz w:val="31"/>
          <w:szCs w:val="31"/>
          <w:lang w:val="en-US" w:eastAsia="zh-CN" w:bidi="ar"/>
        </w:rPr>
        <w:t>相关的</w:t>
      </w:r>
      <w:r>
        <w:rPr>
          <w:rFonts w:hint="default" w:ascii="Times New Roman" w:hAnsi="Times New Roman" w:eastAsia="方正仿宋_GBK" w:cs="Times New Roman"/>
          <w:i w:val="0"/>
          <w:caps w:val="0"/>
          <w:color w:val="000000"/>
          <w:spacing w:val="0"/>
          <w:kern w:val="0"/>
          <w:sz w:val="31"/>
          <w:szCs w:val="31"/>
          <w:lang w:val="en-US" w:eastAsia="zh-CN" w:bidi="ar"/>
        </w:rPr>
        <w:t>信息公开。</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（二）依申请公开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cs="Times New Roman"/>
          <w:color w:val="000000"/>
          <w:szCs w:val="32"/>
          <w:lang w:val="en-US" w:eastAsia="zh-CN"/>
        </w:rPr>
      </w:pPr>
      <w:r>
        <w:rPr>
          <w:rFonts w:hint="eastAsia" w:cs="Times New Roman"/>
          <w:i w:val="0"/>
          <w:caps w:val="0"/>
          <w:color w:val="000000"/>
          <w:spacing w:val="0"/>
          <w:kern w:val="0"/>
          <w:sz w:val="31"/>
          <w:szCs w:val="31"/>
          <w:lang w:val="en-US" w:eastAsia="zh-CN" w:bidi="ar"/>
        </w:rPr>
        <w:t>区局</w:t>
      </w:r>
      <w:r>
        <w:rPr>
          <w:rFonts w:hint="default" w:ascii="Times New Roman" w:hAnsi="Times New Roman" w:eastAsia="方正仿宋_GBK" w:cs="Times New Roman"/>
          <w:i w:val="0"/>
          <w:caps w:val="0"/>
          <w:color w:val="000000"/>
          <w:spacing w:val="0"/>
          <w:kern w:val="0"/>
          <w:sz w:val="31"/>
          <w:szCs w:val="31"/>
          <w:lang w:val="en-US" w:eastAsia="zh-CN" w:bidi="ar"/>
        </w:rPr>
        <w:t>明确政府信息依申请公开有关事项，明确申请方式、答复时限及公开载体。</w:t>
      </w:r>
      <w:r>
        <w:rPr>
          <w:rFonts w:hint="eastAsia" w:cs="Times New Roman"/>
          <w:i w:val="0"/>
          <w:caps w:val="0"/>
          <w:color w:val="000000"/>
          <w:spacing w:val="0"/>
          <w:kern w:val="0"/>
          <w:sz w:val="31"/>
          <w:szCs w:val="31"/>
          <w:lang w:val="en-US" w:eastAsia="zh-CN" w:bidi="ar"/>
        </w:rPr>
        <w:t>全年</w:t>
      </w:r>
      <w:r>
        <w:rPr>
          <w:rFonts w:hint="default" w:ascii="Times New Roman" w:hAnsi="Times New Roman" w:cs="Times New Roman"/>
          <w:i w:val="0"/>
          <w:caps w:val="0"/>
          <w:color w:val="000000"/>
          <w:spacing w:val="0"/>
          <w:kern w:val="0"/>
          <w:sz w:val="31"/>
          <w:szCs w:val="31"/>
          <w:lang w:val="en-US" w:eastAsia="zh-CN" w:bidi="ar"/>
        </w:rPr>
        <w:t>共</w:t>
      </w:r>
      <w:r>
        <w:rPr>
          <w:rFonts w:hint="eastAsia" w:cs="Times New Roman"/>
          <w:i w:val="0"/>
          <w:caps w:val="0"/>
          <w:color w:val="000000"/>
          <w:spacing w:val="0"/>
          <w:kern w:val="0"/>
          <w:sz w:val="31"/>
          <w:szCs w:val="31"/>
          <w:lang w:val="en-US" w:eastAsia="zh-CN" w:bidi="ar"/>
        </w:rPr>
        <w:t>收到</w:t>
      </w:r>
      <w:r>
        <w:rPr>
          <w:rFonts w:hint="default" w:ascii="Times New Roman" w:hAnsi="Times New Roman" w:cs="Times New Roman"/>
          <w:i w:val="0"/>
          <w:caps w:val="0"/>
          <w:color w:val="auto"/>
          <w:spacing w:val="0"/>
          <w:kern w:val="0"/>
          <w:sz w:val="31"/>
          <w:szCs w:val="31"/>
          <w:lang w:val="en" w:eastAsia="zh-CN" w:bidi="ar"/>
        </w:rPr>
        <w:t>2</w:t>
      </w:r>
      <w:r>
        <w:rPr>
          <w:rFonts w:hint="eastAsia" w:cs="Times New Roman"/>
          <w:i w:val="0"/>
          <w:caps w:val="0"/>
          <w:color w:val="auto"/>
          <w:spacing w:val="0"/>
          <w:kern w:val="0"/>
          <w:sz w:val="31"/>
          <w:szCs w:val="31"/>
          <w:lang w:val="en-US" w:eastAsia="zh-CN" w:bidi="ar"/>
        </w:rPr>
        <w:t>2</w:t>
      </w:r>
      <w:r>
        <w:rPr>
          <w:rFonts w:hint="default" w:ascii="Times New Roman" w:hAnsi="Times New Roman" w:cs="Times New Roman"/>
          <w:i w:val="0"/>
          <w:caps w:val="0"/>
          <w:color w:val="000000"/>
          <w:spacing w:val="0"/>
          <w:kern w:val="0"/>
          <w:sz w:val="31"/>
          <w:szCs w:val="31"/>
          <w:lang w:val="en-US" w:eastAsia="zh-CN" w:bidi="ar"/>
        </w:rPr>
        <w:t>件政府信息公开申请</w:t>
      </w:r>
      <w:r>
        <w:rPr>
          <w:rFonts w:hint="eastAsia" w:cs="Times New Roman"/>
          <w:i w:val="0"/>
          <w:caps w:val="0"/>
          <w:color w:val="000000"/>
          <w:spacing w:val="0"/>
          <w:kern w:val="0"/>
          <w:sz w:val="31"/>
          <w:szCs w:val="31"/>
          <w:lang w:val="en-US" w:eastAsia="zh-CN" w:bidi="ar"/>
        </w:rPr>
        <w:t>，上年结转政府信息公开申请1件</w:t>
      </w:r>
      <w:r>
        <w:rPr>
          <w:rFonts w:hint="default" w:ascii="Times New Roman" w:hAnsi="Times New Roman" w:cs="Times New Roman"/>
          <w:i w:val="0"/>
          <w:caps w:val="0"/>
          <w:color w:val="000000"/>
          <w:spacing w:val="0"/>
          <w:kern w:val="0"/>
          <w:sz w:val="31"/>
          <w:szCs w:val="31"/>
          <w:lang w:val="en-US" w:eastAsia="zh-CN" w:bidi="ar"/>
        </w:rPr>
        <w:t>，均已在法定期限内办结答复。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（三）政府信息管理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i w:val="0"/>
          <w:caps w:val="0"/>
          <w:color w:val="000000"/>
          <w:spacing w:val="0"/>
          <w:kern w:val="0"/>
          <w:sz w:val="31"/>
          <w:szCs w:val="31"/>
          <w:lang w:val="en-US" w:eastAsia="zh-CN" w:bidi="ar"/>
        </w:rPr>
        <w:t>加强对政府信息规范化管理</w:t>
      </w:r>
      <w:r>
        <w:rPr>
          <w:rFonts w:hint="eastAsia" w:cs="Times New Roman"/>
          <w:i w:val="0"/>
          <w:caps w:val="0"/>
          <w:color w:val="000000"/>
          <w:spacing w:val="0"/>
          <w:kern w:val="0"/>
          <w:sz w:val="31"/>
          <w:szCs w:val="31"/>
          <w:lang w:val="en-US" w:eastAsia="zh-CN" w:bidi="ar"/>
        </w:rPr>
        <w:t>，</w:t>
      </w:r>
      <w:r>
        <w:rPr>
          <w:rFonts w:hint="default" w:ascii="Times New Roman" w:hAnsi="Times New Roman" w:cs="Times New Roman"/>
          <w:i w:val="0"/>
          <w:caps w:val="0"/>
          <w:color w:val="000000"/>
          <w:spacing w:val="0"/>
          <w:kern w:val="0"/>
          <w:sz w:val="31"/>
          <w:szCs w:val="31"/>
          <w:lang w:val="en-US" w:eastAsia="zh-CN" w:bidi="ar"/>
        </w:rPr>
        <w:t>严格落实信息发布“三审三校”和信息内容主体责任制度</w:t>
      </w:r>
      <w:r>
        <w:rPr>
          <w:rFonts w:hint="eastAsia" w:cs="Times New Roman"/>
          <w:i w:val="0"/>
          <w:caps w:val="0"/>
          <w:color w:val="000000"/>
          <w:spacing w:val="0"/>
          <w:kern w:val="0"/>
          <w:sz w:val="31"/>
          <w:szCs w:val="31"/>
          <w:lang w:val="en-US" w:eastAsia="zh-CN" w:bidi="ar"/>
        </w:rPr>
        <w:t>。加强对政府信息发布政治、法律、政策、保密、文字、舆情等方面的审查</w:t>
      </w:r>
      <w:r>
        <w:rPr>
          <w:rFonts w:hint="default" w:ascii="Times New Roman" w:hAnsi="Times New Roman" w:cs="Times New Roman"/>
          <w:i w:val="0"/>
          <w:caps w:val="0"/>
          <w:color w:val="000000"/>
          <w:spacing w:val="0"/>
          <w:kern w:val="0"/>
          <w:sz w:val="31"/>
          <w:szCs w:val="31"/>
          <w:lang w:val="en-US" w:eastAsia="zh-CN" w:bidi="ar"/>
        </w:rPr>
        <w:t>，维护公共安全和社会稳定。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（四）政府信息公开平台建设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eastAsia="方正仿宋_GBK" w:cs="Times New Roman"/>
          <w:i w:val="0"/>
          <w:caps w:val="0"/>
          <w:color w:val="000000"/>
          <w:spacing w:val="0"/>
          <w:kern w:val="0"/>
          <w:sz w:val="31"/>
          <w:szCs w:val="31"/>
          <w:lang w:val="en-US" w:eastAsia="zh-CN" w:bidi="ar"/>
        </w:rPr>
        <w:t>严格遵守“以公开为原则、以不公开为例外”的原则，不断规范、完善各版块公开内容，及时完善更新</w:t>
      </w:r>
      <w:r>
        <w:rPr>
          <w:rFonts w:hint="eastAsia" w:cs="Times New Roman"/>
          <w:i w:val="0"/>
          <w:caps w:val="0"/>
          <w:color w:val="000000"/>
          <w:spacing w:val="0"/>
          <w:kern w:val="0"/>
          <w:sz w:val="31"/>
          <w:szCs w:val="31"/>
          <w:lang w:val="en-US" w:eastAsia="zh-CN" w:bidi="ar"/>
        </w:rPr>
        <w:t>政府网站和微信公众号栏目信息，</w:t>
      </w:r>
      <w:r>
        <w:rPr>
          <w:rFonts w:hint="default" w:ascii="Times New Roman" w:hAnsi="Times New Roman" w:cs="Times New Roman"/>
          <w:i w:val="0"/>
          <w:caps w:val="0"/>
          <w:color w:val="000000"/>
          <w:spacing w:val="0"/>
          <w:kern w:val="0"/>
          <w:sz w:val="31"/>
          <w:szCs w:val="31"/>
          <w:lang w:val="en-US" w:eastAsia="zh-CN" w:bidi="ar"/>
        </w:rPr>
        <w:t>并及时补充栏目信息，让群众能便捷获取相关信息。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（五）监督保障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cs="Times New Roman"/>
          <w:color w:val="000000"/>
          <w:szCs w:val="32"/>
          <w:lang w:val="en-US" w:eastAsia="zh-CN"/>
        </w:rPr>
      </w:pPr>
      <w:r>
        <w:rPr>
          <w:rFonts w:hint="eastAsia" w:cs="Times New Roman"/>
          <w:i w:val="0"/>
          <w:caps w:val="0"/>
          <w:color w:val="000000"/>
          <w:spacing w:val="0"/>
          <w:kern w:val="0"/>
          <w:sz w:val="31"/>
          <w:szCs w:val="31"/>
          <w:lang w:val="en-US" w:eastAsia="zh-CN" w:bidi="ar"/>
        </w:rPr>
        <w:t>持续</w:t>
      </w:r>
      <w:r>
        <w:rPr>
          <w:rFonts w:hint="default" w:ascii="Times New Roman" w:hAnsi="Times New Roman" w:eastAsia="方正仿宋_GBK" w:cs="Times New Roman"/>
          <w:i w:val="0"/>
          <w:caps w:val="0"/>
          <w:color w:val="000000"/>
          <w:spacing w:val="0"/>
          <w:kern w:val="0"/>
          <w:sz w:val="31"/>
          <w:szCs w:val="31"/>
          <w:lang w:val="en-US" w:eastAsia="zh-CN" w:bidi="ar"/>
        </w:rPr>
        <w:t>细化工作流程，明确工作环节和步骤</w:t>
      </w:r>
      <w:r>
        <w:rPr>
          <w:rFonts w:hint="eastAsia" w:cs="Times New Roman"/>
          <w:i w:val="0"/>
          <w:caps w:val="0"/>
          <w:color w:val="000000"/>
          <w:spacing w:val="0"/>
          <w:kern w:val="0"/>
          <w:sz w:val="31"/>
          <w:szCs w:val="31"/>
          <w:lang w:val="en-US" w:eastAsia="zh-CN" w:bidi="ar"/>
        </w:rPr>
        <w:t>，专人负责政府信息公开工作，切实履行政府信息公开有关职责，组织政府信息公开业务专题培训，及时改进工作方式方法</w:t>
      </w:r>
      <w:r>
        <w:rPr>
          <w:rFonts w:hint="default" w:ascii="Times New Roman" w:hAnsi="Times New Roman" w:eastAsia="方正仿宋_GBK" w:cs="Times New Roman"/>
          <w:i w:val="0"/>
          <w:caps w:val="0"/>
          <w:color w:val="000000"/>
          <w:spacing w:val="0"/>
          <w:kern w:val="0"/>
          <w:sz w:val="31"/>
          <w:szCs w:val="31"/>
          <w:lang w:val="en-US" w:eastAsia="zh-CN" w:bidi="ar"/>
        </w:rPr>
        <w:t>，提高政府信息公开工作能力</w:t>
      </w:r>
      <w:r>
        <w:rPr>
          <w:rFonts w:hint="eastAsia" w:cs="Times New Roman"/>
          <w:i w:val="0"/>
          <w:caps w:val="0"/>
          <w:color w:val="000000"/>
          <w:spacing w:val="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二、主动公开政府信息情况</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信息内容</w:t>
            </w:r>
          </w:p>
        </w:tc>
        <w:tc>
          <w:tcPr>
            <w:tcW w:w="2435" w:type="dxa"/>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本年制发件数</w:t>
            </w:r>
          </w:p>
        </w:tc>
        <w:tc>
          <w:tcPr>
            <w:tcW w:w="2435" w:type="dxa"/>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本年废止件数</w:t>
            </w:r>
          </w:p>
        </w:tc>
        <w:tc>
          <w:tcPr>
            <w:tcW w:w="2435" w:type="dxa"/>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eastAsia="宋体" w:cs="Times New Roman"/>
                <w:kern w:val="0"/>
                <w:sz w:val="20"/>
                <w:lang w:bidi="ar"/>
              </w:rPr>
              <w:t>规章</w:t>
            </w:r>
          </w:p>
        </w:tc>
        <w:tc>
          <w:tcPr>
            <w:tcW w:w="2435" w:type="dxa"/>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lang w:val="en-US" w:eastAsia="zh-CN" w:bidi="ar"/>
              </w:rPr>
              <w:t>0</w:t>
            </w:r>
          </w:p>
        </w:tc>
        <w:tc>
          <w:tcPr>
            <w:tcW w:w="2435" w:type="dxa"/>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lang w:val="en-US" w:eastAsia="zh-CN" w:bidi="ar"/>
              </w:rPr>
              <w:t>0</w:t>
            </w:r>
          </w:p>
        </w:tc>
        <w:tc>
          <w:tcPr>
            <w:tcW w:w="2435" w:type="dxa"/>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eastAsia="宋体" w:cs="Times New Roman"/>
                <w:kern w:val="0"/>
                <w:sz w:val="20"/>
                <w:lang w:bidi="ar"/>
              </w:rPr>
              <w:t>行政规范性文件</w:t>
            </w:r>
          </w:p>
        </w:tc>
        <w:tc>
          <w:tcPr>
            <w:tcW w:w="2435" w:type="dxa"/>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lang w:val="en-US" w:eastAsia="zh-CN" w:bidi="ar"/>
              </w:rPr>
              <w:t>0</w:t>
            </w:r>
          </w:p>
        </w:tc>
        <w:tc>
          <w:tcPr>
            <w:tcW w:w="2435" w:type="dxa"/>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lang w:val="en-US" w:eastAsia="zh-CN" w:bidi="ar"/>
              </w:rPr>
              <w:t>0</w:t>
            </w:r>
          </w:p>
        </w:tc>
        <w:tc>
          <w:tcPr>
            <w:tcW w:w="2435" w:type="dxa"/>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信息内容</w:t>
            </w:r>
          </w:p>
        </w:tc>
        <w:tc>
          <w:tcPr>
            <w:tcW w:w="7305" w:type="dxa"/>
            <w:gridSpan w:val="3"/>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eastAsia="宋体" w:cs="Times New Roman"/>
                <w:kern w:val="0"/>
                <w:sz w:val="20"/>
                <w:lang w:bidi="ar"/>
              </w:rPr>
              <w:t>行政许可</w:t>
            </w:r>
          </w:p>
        </w:tc>
        <w:tc>
          <w:tcPr>
            <w:tcW w:w="7305" w:type="dxa"/>
            <w:gridSpan w:val="3"/>
            <w:shd w:val="clear" w:color="auto" w:fill="FFFFFF"/>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color w:val="auto"/>
                <w:kern w:val="0"/>
                <w:sz w:val="21"/>
                <w:szCs w:val="21"/>
                <w:lang w:val="en-US" w:eastAsia="zh-CN" w:bidi="ar"/>
              </w:rPr>
              <w:t>33145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信息内容</w:t>
            </w:r>
          </w:p>
        </w:tc>
        <w:tc>
          <w:tcPr>
            <w:tcW w:w="7305" w:type="dxa"/>
            <w:gridSpan w:val="3"/>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eastAsia="宋体" w:cs="Times New Roman"/>
                <w:kern w:val="0"/>
                <w:sz w:val="20"/>
                <w:lang w:bidi="ar"/>
              </w:rPr>
              <w:t>行政处罚</w:t>
            </w:r>
          </w:p>
        </w:tc>
        <w:tc>
          <w:tcPr>
            <w:tcW w:w="7305" w:type="dxa"/>
            <w:gridSpan w:val="3"/>
            <w:shd w:val="clear" w:color="auto" w:fill="FFFFFF"/>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color w:val="auto"/>
                <w:kern w:val="0"/>
                <w:sz w:val="20"/>
                <w:lang w:val="en-US" w:eastAsia="zh-CN" w:bidi="ar"/>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eastAsia="宋体" w:cs="Times New Roman"/>
                <w:kern w:val="0"/>
                <w:sz w:val="20"/>
                <w:lang w:bidi="ar"/>
              </w:rPr>
              <w:t>行政强制</w:t>
            </w:r>
          </w:p>
        </w:tc>
        <w:tc>
          <w:tcPr>
            <w:tcW w:w="7305" w:type="dxa"/>
            <w:gridSpan w:val="3"/>
            <w:shd w:val="clear" w:color="auto" w:fill="FFFFFF"/>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default" w:ascii="Times New Roman" w:hAnsi="Times New Roman" w:eastAsia="宋体" w:cs="Times New Roman"/>
                <w:color w:val="auto"/>
                <w:kern w:val="0"/>
                <w:sz w:val="20"/>
                <w:lang w:val="en-US" w:eastAsia="zh-CN"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信息内容</w:t>
            </w:r>
          </w:p>
        </w:tc>
        <w:tc>
          <w:tcPr>
            <w:tcW w:w="7305" w:type="dxa"/>
            <w:gridSpan w:val="3"/>
            <w:shd w:val="clear" w:color="auto" w:fill="FFFFFF"/>
            <w:tcMar>
              <w:left w:w="57" w:type="dxa"/>
              <w:right w:w="57"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cMar>
              <w:left w:w="57" w:type="dxa"/>
              <w:right w:w="57" w:type="dxa"/>
            </w:tcMar>
            <w:vAlign w:val="center"/>
          </w:tcPr>
          <w:p>
            <w:pPr>
              <w:widowControl/>
              <w:jc w:val="left"/>
              <w:rPr>
                <w:rFonts w:hint="default" w:ascii="Times New Roman" w:hAnsi="Times New Roman" w:cs="Times New Roman"/>
              </w:rPr>
            </w:pPr>
            <w:r>
              <w:rPr>
                <w:rFonts w:hint="default" w:ascii="Times New Roman" w:hAnsi="Times New Roman" w:eastAsia="宋体" w:cs="Times New Roman"/>
                <w:kern w:val="0"/>
                <w:sz w:val="20"/>
                <w:lang w:bidi="ar"/>
              </w:rPr>
              <w:t>行政事业性收费</w:t>
            </w:r>
          </w:p>
        </w:tc>
        <w:tc>
          <w:tcPr>
            <w:tcW w:w="7305" w:type="dxa"/>
            <w:gridSpan w:val="3"/>
            <w:shd w:val="clear" w:color="auto" w:fill="FFFFFF"/>
            <w:tcMar>
              <w:left w:w="57" w:type="dxa"/>
              <w:right w:w="57" w:type="dxa"/>
            </w:tcMar>
            <w:vAlign w:val="center"/>
          </w:tcPr>
          <w:p>
            <w:pPr>
              <w:jc w:val="center"/>
              <w:rPr>
                <w:rFonts w:hint="default" w:ascii="Times New Roman" w:hAnsi="Times New Roman" w:eastAsia="方正仿宋_GBK" w:cs="Times New Roman"/>
                <w:sz w:val="24"/>
                <w:szCs w:val="24"/>
                <w:lang w:val="en-US" w:eastAsia="zh-CN"/>
              </w:rPr>
            </w:pPr>
            <w:r>
              <w:rPr>
                <w:rFonts w:hint="default" w:ascii="Times New Roman" w:hAnsi="Times New Roman" w:cs="Times New Roman"/>
                <w:color w:val="auto"/>
                <w:sz w:val="24"/>
                <w:szCs w:val="24"/>
                <w:lang w:val="en-US" w:eastAsia="zh-CN"/>
              </w:rPr>
              <w:t>1.425</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三、收到和处理政府信息公开申请情况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restart"/>
            <w:tcMar>
              <w:left w:w="108" w:type="dxa"/>
              <w:right w:w="108" w:type="dxa"/>
            </w:tcMar>
            <w:vAlign w:val="center"/>
          </w:tcPr>
          <w:p>
            <w:pPr>
              <w:widowControl/>
              <w:jc w:val="left"/>
              <w:rPr>
                <w:rFonts w:hint="default" w:ascii="Times New Roman" w:hAnsi="Times New Roman" w:cs="Times New Roman"/>
                <w:color w:val="000000"/>
              </w:rPr>
            </w:pPr>
            <w:r>
              <w:rPr>
                <w:rFonts w:hint="default" w:ascii="Times New Roman" w:hAnsi="Times New Roman" w:eastAsia="楷体" w:cs="Times New Roman"/>
                <w:color w:val="000000"/>
                <w:kern w:val="0"/>
                <w:sz w:val="20"/>
                <w:lang w:bidi="ar"/>
              </w:rPr>
              <w:t>（本列数据的勾稽关系为：第一项加第二项之和，等于第三项加第四项之和）</w:t>
            </w:r>
          </w:p>
        </w:tc>
        <w:tc>
          <w:tcPr>
            <w:tcW w:w="4817" w:type="dxa"/>
            <w:gridSpan w:val="7"/>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tcMar>
              <w:left w:w="108" w:type="dxa"/>
              <w:right w:w="108" w:type="dxa"/>
            </w:tcMar>
            <w:vAlign w:val="center"/>
          </w:tcPr>
          <w:p>
            <w:pPr>
              <w:rPr>
                <w:rFonts w:hint="default" w:ascii="Times New Roman" w:hAnsi="Times New Roman" w:cs="Times New Roman"/>
                <w:color w:val="000000"/>
                <w:sz w:val="24"/>
                <w:szCs w:val="24"/>
              </w:rPr>
            </w:pPr>
          </w:p>
        </w:tc>
        <w:tc>
          <w:tcPr>
            <w:tcW w:w="688" w:type="dxa"/>
            <w:vMerge w:val="restart"/>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自然人</w:t>
            </w:r>
          </w:p>
        </w:tc>
        <w:tc>
          <w:tcPr>
            <w:tcW w:w="3440" w:type="dxa"/>
            <w:gridSpan w:val="5"/>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法人或其他组织</w:t>
            </w:r>
          </w:p>
        </w:tc>
        <w:tc>
          <w:tcPr>
            <w:tcW w:w="689" w:type="dxa"/>
            <w:vMerge w:val="restart"/>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vMerge w:val="continue"/>
            <w:tcMar>
              <w:left w:w="108" w:type="dxa"/>
              <w:right w:w="108" w:type="dxa"/>
            </w:tcMar>
            <w:vAlign w:val="center"/>
          </w:tcPr>
          <w:p>
            <w:pPr>
              <w:rPr>
                <w:rFonts w:hint="default" w:ascii="Times New Roman" w:hAnsi="Times New Roman" w:cs="Times New Roman"/>
                <w:color w:val="000000"/>
                <w:sz w:val="24"/>
                <w:szCs w:val="24"/>
              </w:rPr>
            </w:pPr>
          </w:p>
        </w:tc>
        <w:tc>
          <w:tcPr>
            <w:tcW w:w="68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688" w:type="dxa"/>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商业</w:t>
            </w:r>
          </w:p>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企业</w:t>
            </w:r>
          </w:p>
        </w:tc>
        <w:tc>
          <w:tcPr>
            <w:tcW w:w="688" w:type="dxa"/>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科研</w:t>
            </w:r>
          </w:p>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机构</w:t>
            </w:r>
          </w:p>
        </w:tc>
        <w:tc>
          <w:tcPr>
            <w:tcW w:w="688" w:type="dxa"/>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社会公益组织</w:t>
            </w:r>
          </w:p>
        </w:tc>
        <w:tc>
          <w:tcPr>
            <w:tcW w:w="688" w:type="dxa"/>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法律服务机构</w:t>
            </w:r>
          </w:p>
        </w:tc>
        <w:tc>
          <w:tcPr>
            <w:tcW w:w="688" w:type="dxa"/>
            <w:tcMar>
              <w:left w:w="57" w:type="dxa"/>
              <w:right w:w="57"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其他</w:t>
            </w:r>
          </w:p>
        </w:tc>
        <w:tc>
          <w:tcPr>
            <w:tcW w:w="689" w:type="dxa"/>
            <w:vMerge w:val="continue"/>
            <w:tcMar>
              <w:left w:w="57" w:type="dxa"/>
              <w:right w:w="57" w:type="dxa"/>
            </w:tcMar>
            <w:vAlign w:val="center"/>
          </w:tcPr>
          <w:p>
            <w:pP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1" w:type="dxa"/>
            <w:gridSpan w:val="3"/>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一、本年新收政府信息公开申请数量</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宋体" w:cs="Times New Roman"/>
                <w:color w:val="000000"/>
                <w:kern w:val="0"/>
                <w:sz w:val="20"/>
                <w:lang w:val="en" w:eastAsia="zh-CN" w:bidi="ar"/>
              </w:rPr>
              <w:t>2</w:t>
            </w:r>
            <w:r>
              <w:rPr>
                <w:rFonts w:hint="default" w:ascii="Times New Roman" w:hAnsi="Times New Roman" w:eastAsia="宋体" w:cs="Times New Roman"/>
                <w:color w:val="000000"/>
                <w:kern w:val="0"/>
                <w:sz w:val="20"/>
                <w:lang w:val="en-US" w:eastAsia="zh-CN" w:bidi="ar"/>
              </w:rPr>
              <w:t>2</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宋体" w:cs="Times New Roman"/>
                <w:color w:val="000000"/>
                <w:kern w:val="0"/>
                <w:sz w:val="20"/>
                <w:lang w:val="en" w:eastAsia="zh-CN" w:bidi="ar"/>
              </w:rPr>
              <w:t>2</w:t>
            </w:r>
            <w:r>
              <w:rPr>
                <w:rFonts w:hint="default" w:ascii="Times New Roman" w:hAnsi="Times New Roman" w:eastAsia="宋体" w:cs="Times New Roman"/>
                <w:color w:val="000000"/>
                <w:kern w:val="0"/>
                <w:sz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二、上年结转政府信息公开申请数量</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val="en" w:eastAsia="zh-CN"/>
              </w:rPr>
            </w:pPr>
            <w:r>
              <w:rPr>
                <w:rFonts w:hint="default" w:ascii="Times New Roman" w:hAnsi="Times New Roman" w:eastAsia="宋体" w:cs="Times New Roman"/>
                <w:color w:val="000000"/>
                <w:kern w:val="0"/>
                <w:sz w:val="20"/>
                <w:lang w:val="en" w:eastAsia="zh-CN" w:bidi="ar"/>
              </w:rPr>
              <w:t>1</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val="en" w:eastAsia="zh-CN"/>
              </w:rPr>
            </w:pPr>
            <w:r>
              <w:rPr>
                <w:rFonts w:hint="default" w:ascii="Times New Roman" w:hAnsi="Times New Roman" w:eastAsia="宋体" w:cs="Times New Roman"/>
                <w:color w:val="000000"/>
                <w:kern w:val="0"/>
                <w:sz w:val="20"/>
                <w:lang w:val="en"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三、本年度办理结果</w:t>
            </w:r>
          </w:p>
        </w:tc>
        <w:tc>
          <w:tcPr>
            <w:tcW w:w="4163" w:type="dxa"/>
            <w:gridSpan w:val="2"/>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（一）予以公开</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val="en" w:eastAsia="zh-CN"/>
              </w:rPr>
            </w:pPr>
            <w:r>
              <w:rPr>
                <w:rFonts w:hint="default" w:ascii="Times New Roman" w:hAnsi="Times New Roman" w:eastAsia="宋体" w:cs="Times New Roman"/>
                <w:color w:val="000000"/>
                <w:kern w:val="0"/>
                <w:sz w:val="20"/>
                <w:lang w:val="en" w:eastAsia="zh-CN" w:bidi="ar"/>
              </w:rPr>
              <w:t>8</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4163" w:type="dxa"/>
            <w:gridSpan w:val="2"/>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（二）部分公开</w:t>
            </w:r>
            <w:r>
              <w:rPr>
                <w:rFonts w:hint="default" w:ascii="Times New Roman" w:hAnsi="Times New Roman" w:eastAsia="楷体" w:cs="Times New Roman"/>
                <w:color w:val="000000"/>
                <w:kern w:val="0"/>
                <w:sz w:val="20"/>
                <w:lang w:bidi="ar"/>
              </w:rPr>
              <w:t>（区分处理的，只计这一情形，不计其他情形）</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val="en" w:eastAsia="zh-CN"/>
              </w:rPr>
            </w:pPr>
            <w:r>
              <w:rPr>
                <w:rFonts w:hint="default" w:ascii="Times New Roman" w:hAnsi="Times New Roman" w:eastAsia="宋体" w:cs="Times New Roman"/>
                <w:color w:val="000000"/>
                <w:kern w:val="0"/>
                <w:sz w:val="20"/>
                <w:lang w:val="en" w:eastAsia="zh-CN" w:bidi="ar"/>
              </w:rPr>
              <w:t>10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restart"/>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（三）不予公开</w:t>
            </w: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1.属于国家秘密</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2.其他法律行政法规禁止公开</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3.危及“三安全一稳定”</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4.保护第三方合法权益</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5.属于三类内部事务信息</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val="en" w:eastAsia="zh-CN"/>
              </w:rPr>
            </w:pPr>
            <w:r>
              <w:rPr>
                <w:rFonts w:hint="default" w:ascii="Times New Roman" w:hAnsi="Times New Roman" w:eastAsia="宋体" w:cs="Times New Roman"/>
                <w:color w:val="000000"/>
                <w:kern w:val="0"/>
                <w:sz w:val="20"/>
                <w:lang w:val="en-US" w:eastAsia="zh-CN" w:bidi="ar"/>
              </w:rPr>
              <w:t>3</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6.属于四类过程性信息</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7.属于行政执法案卷</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8.属于行政查询事项</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restart"/>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（四）无法提供</w:t>
            </w: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1.本机关不掌握相关政府信息</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val="en" w:eastAsia="zh-CN"/>
              </w:rPr>
            </w:pPr>
            <w:r>
              <w:rPr>
                <w:rFonts w:hint="default" w:ascii="Times New Roman" w:hAnsi="Times New Roman" w:eastAsia="宋体" w:cs="Times New Roman"/>
                <w:color w:val="000000"/>
                <w:kern w:val="0"/>
                <w:sz w:val="20"/>
                <w:lang w:val="en-US" w:eastAsia="zh-CN" w:bidi="ar"/>
              </w:rPr>
              <w:t>2</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2.没有现成信息需要另行制作</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3.补正后申请内容仍不明确</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restart"/>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（五）不予处理</w:t>
            </w: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1.信访举报投诉类申请</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2.重复申请</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3.要求提供公开出版物</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top"/>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4.无正当理由大量反复申请</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center"/>
          </w:tcPr>
          <w:p>
            <w:pPr>
              <w:widowControl/>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5.要求行政机关确认或重新出具已获取信息</w:t>
            </w:r>
          </w:p>
        </w:tc>
        <w:tc>
          <w:tcPr>
            <w:tcW w:w="688"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restart"/>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（六）其他处理</w:t>
            </w:r>
          </w:p>
        </w:tc>
        <w:tc>
          <w:tcPr>
            <w:tcW w:w="3220" w:type="dxa"/>
            <w:tcMar>
              <w:left w:w="57" w:type="dxa"/>
              <w:right w:w="57" w:type="dxa"/>
            </w:tcMar>
            <w:vAlign w:val="center"/>
          </w:tcPr>
          <w:p>
            <w:pPr>
              <w:widowControl/>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1.申请人无正当理由逾期不补正、行政机关不再处理其政府信息公开申请</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center"/>
          </w:tcPr>
          <w:p>
            <w:pPr>
              <w:widowControl/>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2.申请人逾期未按收费通知要求缴纳费用、行政机关不再处理其政府信息公开申请</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宋体" w:cs="Times New Roman"/>
                <w:color w:val="000000"/>
                <w:kern w:val="0"/>
                <w:sz w:val="20"/>
                <w:lang w:val="en-US" w:eastAsia="zh-CN" w:bidi="ar"/>
              </w:rPr>
            </w:pPr>
          </w:p>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943"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3220" w:type="dxa"/>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3.其他</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rPr>
                <w:rFonts w:hint="default" w:ascii="Times New Roman" w:hAnsi="Times New Roman" w:cs="Times New Roman"/>
                <w:color w:val="000000"/>
                <w:sz w:val="24"/>
                <w:szCs w:val="24"/>
              </w:rPr>
            </w:pPr>
          </w:p>
        </w:tc>
        <w:tc>
          <w:tcPr>
            <w:tcW w:w="4163" w:type="dxa"/>
            <w:gridSpan w:val="2"/>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（七）总计</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宋体" w:cs="Times New Roman"/>
                <w:color w:val="000000"/>
                <w:kern w:val="0"/>
                <w:sz w:val="20"/>
                <w:lang w:val="en-US" w:eastAsia="zh-CN" w:bidi="ar"/>
              </w:rPr>
              <w:t>23</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宋体" w:cs="Times New Roman"/>
                <w:color w:val="000000"/>
                <w:kern w:val="0"/>
                <w:sz w:val="20"/>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31" w:type="dxa"/>
            <w:gridSpan w:val="3"/>
            <w:tcMar>
              <w:left w:w="57" w:type="dxa"/>
              <w:right w:w="57" w:type="dxa"/>
            </w:tcMar>
            <w:vAlign w:val="center"/>
          </w:tcPr>
          <w:p>
            <w:pPr>
              <w:widowControl/>
              <w:jc w:val="left"/>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四、结转下年度继续办理</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8" w:type="dxa"/>
            <w:tcMar>
              <w:left w:w="57" w:type="dxa"/>
              <w:right w:w="57"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宋体" w:cs="Times New Roman"/>
                <w:color w:val="000000"/>
                <w:kern w:val="0"/>
                <w:sz w:val="20"/>
                <w:lang w:val="en-US" w:eastAsia="zh-CN" w:bidi="ar"/>
              </w:rPr>
              <w:t>0</w:t>
            </w:r>
          </w:p>
        </w:tc>
        <w:tc>
          <w:tcPr>
            <w:tcW w:w="689" w:type="dxa"/>
            <w:tcMar>
              <w:left w:w="57" w:type="dxa"/>
              <w:right w:w="57" w:type="dxa"/>
            </w:tcMar>
            <w:vAlign w:val="top"/>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cs="Times New Roman"/>
                <w:color w:val="00000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四、政府信息公开行政复议、行政诉讼情况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45" w:type="dxa"/>
            <w:gridSpan w:val="5"/>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行政复议</w:t>
            </w:r>
          </w:p>
        </w:tc>
        <w:tc>
          <w:tcPr>
            <w:tcW w:w="6503" w:type="dxa"/>
            <w:gridSpan w:val="10"/>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restart"/>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结果维持</w:t>
            </w:r>
          </w:p>
        </w:tc>
        <w:tc>
          <w:tcPr>
            <w:tcW w:w="649" w:type="dxa"/>
            <w:vMerge w:val="restart"/>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结果</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纠正</w:t>
            </w:r>
          </w:p>
        </w:tc>
        <w:tc>
          <w:tcPr>
            <w:tcW w:w="649" w:type="dxa"/>
            <w:vMerge w:val="restart"/>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其他</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结果</w:t>
            </w:r>
          </w:p>
        </w:tc>
        <w:tc>
          <w:tcPr>
            <w:tcW w:w="649" w:type="dxa"/>
            <w:vMerge w:val="restart"/>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尚未</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审结</w:t>
            </w:r>
          </w:p>
        </w:tc>
        <w:tc>
          <w:tcPr>
            <w:tcW w:w="649" w:type="dxa"/>
            <w:vMerge w:val="restart"/>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总计</w:t>
            </w:r>
          </w:p>
        </w:tc>
        <w:tc>
          <w:tcPr>
            <w:tcW w:w="3248" w:type="dxa"/>
            <w:gridSpan w:val="5"/>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未经复议直接起诉</w:t>
            </w:r>
          </w:p>
        </w:tc>
        <w:tc>
          <w:tcPr>
            <w:tcW w:w="3255" w:type="dxa"/>
            <w:gridSpan w:val="5"/>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9" w:type="dxa"/>
            <w:vMerge w:val="continue"/>
            <w:tcMar>
              <w:left w:w="108" w:type="dxa"/>
              <w:right w:w="108" w:type="dxa"/>
            </w:tcMar>
            <w:vAlign w:val="center"/>
          </w:tcPr>
          <w:p>
            <w:pPr>
              <w:rPr>
                <w:rFonts w:hint="default" w:ascii="Times New Roman" w:hAnsi="Times New Roman" w:cs="Times New Roman"/>
                <w:color w:val="000000"/>
                <w:sz w:val="24"/>
                <w:szCs w:val="24"/>
              </w:rPr>
            </w:pPr>
          </w:p>
        </w:tc>
        <w:tc>
          <w:tcPr>
            <w:tcW w:w="649" w:type="dxa"/>
            <w:vMerge w:val="continue"/>
            <w:tcMar>
              <w:left w:w="108" w:type="dxa"/>
              <w:right w:w="108" w:type="dxa"/>
            </w:tcMar>
            <w:vAlign w:val="center"/>
          </w:tcPr>
          <w:p>
            <w:pPr>
              <w:rPr>
                <w:rFonts w:hint="default" w:ascii="Times New Roman" w:hAnsi="Times New Roman" w:cs="Times New Roman"/>
                <w:color w:val="000000"/>
                <w:sz w:val="24"/>
                <w:szCs w:val="24"/>
              </w:rPr>
            </w:pPr>
          </w:p>
        </w:tc>
        <w:tc>
          <w:tcPr>
            <w:tcW w:w="649" w:type="dxa"/>
            <w:vMerge w:val="continue"/>
            <w:tcMar>
              <w:left w:w="108" w:type="dxa"/>
              <w:right w:w="108" w:type="dxa"/>
            </w:tcMar>
            <w:vAlign w:val="center"/>
          </w:tcPr>
          <w:p>
            <w:pPr>
              <w:rPr>
                <w:rFonts w:hint="default" w:ascii="Times New Roman" w:hAnsi="Times New Roman" w:cs="Times New Roman"/>
                <w:color w:val="000000"/>
                <w:sz w:val="24"/>
                <w:szCs w:val="24"/>
              </w:rPr>
            </w:pPr>
          </w:p>
        </w:tc>
        <w:tc>
          <w:tcPr>
            <w:tcW w:w="649" w:type="dxa"/>
            <w:vMerge w:val="continue"/>
            <w:tcMar>
              <w:left w:w="108" w:type="dxa"/>
              <w:right w:w="108" w:type="dxa"/>
            </w:tcMar>
            <w:vAlign w:val="center"/>
          </w:tcPr>
          <w:p>
            <w:pPr>
              <w:rPr>
                <w:rFonts w:hint="default" w:ascii="Times New Roman" w:hAnsi="Times New Roman" w:cs="Times New Roman"/>
                <w:color w:val="000000"/>
                <w:sz w:val="24"/>
                <w:szCs w:val="24"/>
              </w:rPr>
            </w:pPr>
          </w:p>
        </w:tc>
        <w:tc>
          <w:tcPr>
            <w:tcW w:w="649" w:type="dxa"/>
            <w:vMerge w:val="continue"/>
            <w:tcMar>
              <w:left w:w="108" w:type="dxa"/>
              <w:right w:w="108" w:type="dxa"/>
            </w:tcMar>
            <w:vAlign w:val="center"/>
          </w:tcPr>
          <w:p>
            <w:pPr>
              <w:rPr>
                <w:rFonts w:hint="default" w:ascii="Times New Roman" w:hAnsi="Times New Roman" w:cs="Times New Roman"/>
                <w:color w:val="000000"/>
                <w:sz w:val="24"/>
                <w:szCs w:val="24"/>
              </w:rPr>
            </w:pPr>
          </w:p>
        </w:tc>
        <w:tc>
          <w:tcPr>
            <w:tcW w:w="649"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结果</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维持</w:t>
            </w:r>
          </w:p>
        </w:tc>
        <w:tc>
          <w:tcPr>
            <w:tcW w:w="649"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结果</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纠正</w:t>
            </w:r>
          </w:p>
        </w:tc>
        <w:tc>
          <w:tcPr>
            <w:tcW w:w="650"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其他</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结果</w:t>
            </w:r>
          </w:p>
        </w:tc>
        <w:tc>
          <w:tcPr>
            <w:tcW w:w="650"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尚未</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审结</w:t>
            </w:r>
          </w:p>
        </w:tc>
        <w:tc>
          <w:tcPr>
            <w:tcW w:w="650"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总计</w:t>
            </w:r>
          </w:p>
        </w:tc>
        <w:tc>
          <w:tcPr>
            <w:tcW w:w="651"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结果</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维持</w:t>
            </w:r>
          </w:p>
        </w:tc>
        <w:tc>
          <w:tcPr>
            <w:tcW w:w="651"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结果</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纠正</w:t>
            </w:r>
          </w:p>
        </w:tc>
        <w:tc>
          <w:tcPr>
            <w:tcW w:w="651"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其他</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结果</w:t>
            </w:r>
          </w:p>
        </w:tc>
        <w:tc>
          <w:tcPr>
            <w:tcW w:w="651"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尚未</w:t>
            </w:r>
            <w:r>
              <w:rPr>
                <w:rFonts w:hint="default" w:ascii="Times New Roman" w:hAnsi="Times New Roman" w:eastAsia="宋体" w:cs="Times New Roman"/>
                <w:color w:val="000000"/>
                <w:kern w:val="0"/>
                <w:sz w:val="20"/>
                <w:lang w:bidi="ar"/>
              </w:rPr>
              <w:br w:type="textWrapping"/>
            </w:r>
            <w:r>
              <w:rPr>
                <w:rFonts w:hint="default" w:ascii="Times New Roman" w:hAnsi="Times New Roman" w:eastAsia="宋体" w:cs="Times New Roman"/>
                <w:color w:val="000000"/>
                <w:kern w:val="0"/>
                <w:sz w:val="20"/>
                <w:lang w:bidi="ar"/>
              </w:rPr>
              <w:t>审结</w:t>
            </w:r>
          </w:p>
        </w:tc>
        <w:tc>
          <w:tcPr>
            <w:tcW w:w="651" w:type="dxa"/>
            <w:tcMar>
              <w:left w:w="108" w:type="dxa"/>
              <w:right w:w="108" w:type="dxa"/>
            </w:tcMar>
            <w:vAlign w:val="center"/>
          </w:tcPr>
          <w:p>
            <w:pPr>
              <w:widowControl/>
              <w:jc w:val="center"/>
              <w:rPr>
                <w:rFonts w:hint="default" w:ascii="Times New Roman" w:hAnsi="Times New Roman" w:cs="Times New Roman"/>
                <w:color w:val="000000"/>
              </w:rPr>
            </w:pPr>
            <w:r>
              <w:rPr>
                <w:rFonts w:hint="default" w:ascii="Times New Roman" w:hAnsi="Times New Roman" w:eastAsia="宋体" w:cs="Times New Roman"/>
                <w:color w:val="000000"/>
                <w:kern w:val="0"/>
                <w:sz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2</w:t>
            </w:r>
          </w:p>
        </w:tc>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1</w:t>
            </w:r>
          </w:p>
        </w:tc>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黑体" w:cs="Times New Roman"/>
                <w:color w:val="000000"/>
                <w:kern w:val="0"/>
                <w:sz w:val="20"/>
                <w:lang w:val="en-US" w:eastAsia="zh-CN" w:bidi="ar"/>
              </w:rPr>
              <w:t>12</w:t>
            </w:r>
          </w:p>
        </w:tc>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val="en-US" w:eastAsia="zh-CN"/>
              </w:rPr>
            </w:pPr>
            <w:r>
              <w:rPr>
                <w:rFonts w:hint="default" w:ascii="Times New Roman" w:hAnsi="Times New Roman" w:eastAsia="黑体" w:cs="Times New Roman"/>
                <w:color w:val="000000"/>
                <w:kern w:val="0"/>
                <w:sz w:val="20"/>
                <w:lang w:val="en-US" w:eastAsia="zh-CN" w:bidi="ar"/>
              </w:rPr>
              <w:t>15</w:t>
            </w:r>
          </w:p>
        </w:tc>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49"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0"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0"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0"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1"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1"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1"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1" w:type="dxa"/>
            <w:tcMar>
              <w:left w:w="108" w:type="dxa"/>
              <w:right w:w="108" w:type="dxa"/>
            </w:tcMar>
            <w:vAlign w:val="center"/>
          </w:tcPr>
          <w:p>
            <w:pPr>
              <w:widowControl/>
              <w:jc w:val="center"/>
              <w:rPr>
                <w:rFonts w:hint="default" w:ascii="Times New Roman" w:hAnsi="Times New Roman" w:eastAsia="方正仿宋_GBK" w:cs="Times New Roman"/>
                <w:color w:val="000000"/>
                <w:lang w:eastAsia="zh-CN"/>
              </w:rPr>
            </w:pPr>
            <w:r>
              <w:rPr>
                <w:rFonts w:hint="default" w:ascii="Times New Roman" w:hAnsi="Times New Roman" w:eastAsia="黑体" w:cs="Times New Roman"/>
                <w:color w:val="000000"/>
                <w:kern w:val="0"/>
                <w:sz w:val="20"/>
                <w:lang w:val="en-US" w:eastAsia="zh-CN" w:bidi="ar"/>
              </w:rPr>
              <w:t>0</w:t>
            </w:r>
          </w:p>
        </w:tc>
        <w:tc>
          <w:tcPr>
            <w:tcW w:w="651" w:type="dxa"/>
            <w:tcMar>
              <w:left w:w="108" w:type="dxa"/>
              <w:right w:w="108" w:type="dxa"/>
            </w:tcMar>
            <w:vAlign w:val="center"/>
          </w:tcPr>
          <w:p>
            <w:pPr>
              <w:rPr>
                <w:rFonts w:hint="default" w:ascii="Times New Roman" w:hAnsi="Times New Roman" w:eastAsia="方正仿宋_GBK" w:cs="Times New Roman"/>
                <w:color w:val="000000"/>
                <w:sz w:val="24"/>
                <w:szCs w:val="24"/>
                <w:lang w:val="en-US" w:eastAsia="zh-CN"/>
              </w:rPr>
            </w:pPr>
            <w:r>
              <w:rPr>
                <w:rFonts w:hint="default" w:ascii="Times New Roman" w:hAnsi="Times New Roman" w:cs="Times New Roman"/>
                <w:color w:val="00000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五、存在的主要问题及改进情况</w:t>
      </w:r>
    </w:p>
    <w:p>
      <w:pPr>
        <w:spacing w:line="60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2024年度区局政府信息公开工作</w:t>
      </w:r>
      <w:r>
        <w:rPr>
          <w:rFonts w:hint="eastAsia" w:cs="Times New Roman"/>
          <w:color w:val="000000"/>
          <w:szCs w:val="32"/>
          <w:lang w:val="en-US" w:eastAsia="zh-CN"/>
        </w:rPr>
        <w:t>稳步推进</w:t>
      </w:r>
      <w:r>
        <w:rPr>
          <w:rFonts w:hint="default" w:ascii="Times New Roman" w:hAnsi="Times New Roman" w:cs="Times New Roman"/>
          <w:color w:val="000000"/>
          <w:szCs w:val="32"/>
          <w:lang w:val="en-US" w:eastAsia="zh-CN"/>
        </w:rPr>
        <w:t>，但</w:t>
      </w:r>
      <w:r>
        <w:rPr>
          <w:rFonts w:hint="eastAsia" w:cs="Times New Roman"/>
          <w:color w:val="000000"/>
          <w:szCs w:val="32"/>
          <w:lang w:val="en-US" w:eastAsia="zh-CN"/>
        </w:rPr>
        <w:t>仍</w:t>
      </w:r>
      <w:r>
        <w:rPr>
          <w:rFonts w:hint="default" w:ascii="Times New Roman" w:hAnsi="Times New Roman" w:cs="Times New Roman"/>
          <w:color w:val="000000"/>
          <w:szCs w:val="32"/>
          <w:lang w:val="en-US" w:eastAsia="zh-CN"/>
        </w:rPr>
        <w:t>存在有一些问题。一是信息发布内容</w:t>
      </w:r>
      <w:r>
        <w:rPr>
          <w:rFonts w:hint="eastAsia" w:cs="Times New Roman"/>
          <w:color w:val="000000"/>
          <w:szCs w:val="32"/>
          <w:lang w:val="en-US" w:eastAsia="zh-CN"/>
        </w:rPr>
        <w:t>形式不够鲜活</w:t>
      </w:r>
      <w:r>
        <w:rPr>
          <w:rFonts w:hint="default" w:ascii="Times New Roman" w:hAnsi="Times New Roman" w:cs="Times New Roman"/>
          <w:color w:val="000000"/>
          <w:szCs w:val="32"/>
          <w:lang w:val="en-US" w:eastAsia="zh-CN"/>
        </w:rPr>
        <w:t>，二是政策解读上发布内容不够详细。下一步将深入贯彻落实</w:t>
      </w:r>
      <w:r>
        <w:rPr>
          <w:rFonts w:hint="default" w:ascii="Times New Roman" w:hAnsi="Times New Roman" w:eastAsia="方正仿宋_GBK" w:cs="Times New Roman"/>
          <w:i w:val="0"/>
          <w:caps w:val="0"/>
          <w:color w:val="000000"/>
          <w:spacing w:val="0"/>
          <w:kern w:val="0"/>
          <w:sz w:val="31"/>
          <w:szCs w:val="31"/>
          <w:lang w:val="en-US" w:eastAsia="zh-CN" w:bidi="ar"/>
        </w:rPr>
        <w:t>《中华人民共和国政府信息公开条例》</w:t>
      </w:r>
      <w:r>
        <w:rPr>
          <w:rFonts w:hint="default" w:ascii="Times New Roman" w:hAnsi="Times New Roman" w:cs="Times New Roman"/>
          <w:color w:val="000000"/>
          <w:szCs w:val="32"/>
          <w:lang w:val="en-US" w:eastAsia="zh-CN"/>
        </w:rPr>
        <w:t>，围绕群众关心</w:t>
      </w:r>
      <w:r>
        <w:rPr>
          <w:rFonts w:hint="eastAsia" w:cs="Times New Roman"/>
          <w:color w:val="000000"/>
          <w:szCs w:val="32"/>
          <w:lang w:val="en-US" w:eastAsia="zh-CN"/>
        </w:rPr>
        <w:t>关注的热点、难点、堵点</w:t>
      </w:r>
      <w:r>
        <w:rPr>
          <w:rFonts w:hint="default" w:ascii="Times New Roman" w:hAnsi="Times New Roman" w:cs="Times New Roman"/>
          <w:color w:val="000000"/>
          <w:szCs w:val="32"/>
          <w:lang w:val="en-US" w:eastAsia="zh-CN"/>
        </w:rPr>
        <w:t>，</w:t>
      </w:r>
      <w:r>
        <w:rPr>
          <w:rFonts w:hint="eastAsia" w:cs="Times New Roman"/>
          <w:color w:val="000000"/>
          <w:szCs w:val="32"/>
          <w:lang w:val="en-US" w:eastAsia="zh-CN"/>
        </w:rPr>
        <w:t>丰富信息发布形式、加大政策解读力度、细化政策解读内容</w:t>
      </w:r>
      <w:bookmarkStart w:id="0" w:name="_GoBack"/>
      <w:bookmarkEnd w:id="0"/>
      <w:r>
        <w:rPr>
          <w:rFonts w:hint="default" w:ascii="Times New Roman" w:hAnsi="Times New Roman" w:cs="Times New Roman"/>
          <w:color w:val="000000"/>
          <w:szCs w:val="32"/>
          <w:lang w:val="en-US" w:eastAsia="zh-CN"/>
        </w:rPr>
        <w:t>，提升群众对市场监管</w:t>
      </w:r>
      <w:r>
        <w:rPr>
          <w:rFonts w:hint="eastAsia" w:cs="Times New Roman"/>
          <w:color w:val="000000"/>
          <w:szCs w:val="32"/>
          <w:lang w:val="en-US" w:eastAsia="zh-CN"/>
        </w:rPr>
        <w:t>工作</w:t>
      </w:r>
      <w:r>
        <w:rPr>
          <w:rFonts w:hint="default" w:ascii="Times New Roman" w:hAnsi="Times New Roman" w:cs="Times New Roman"/>
          <w:color w:val="000000"/>
          <w:szCs w:val="32"/>
          <w:lang w:val="en-US" w:eastAsia="zh-CN"/>
        </w:rPr>
        <w:t>的</w:t>
      </w:r>
      <w:r>
        <w:rPr>
          <w:rFonts w:hint="eastAsia" w:cs="Times New Roman"/>
          <w:color w:val="000000"/>
          <w:szCs w:val="32"/>
          <w:lang w:val="en-US" w:eastAsia="zh-CN"/>
        </w:rPr>
        <w:t>满意</w:t>
      </w:r>
      <w:r>
        <w:rPr>
          <w:rFonts w:hint="default" w:ascii="Times New Roman" w:hAnsi="Times New Roman" w:cs="Times New Roman"/>
          <w:color w:val="000000"/>
          <w:szCs w:val="32"/>
          <w:lang w:val="en-US" w:eastAsia="zh-CN"/>
        </w:rPr>
        <w:t>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六、其他需要报告的事项</w:t>
      </w:r>
    </w:p>
    <w:p>
      <w:pPr>
        <w:spacing w:line="600" w:lineRule="exact"/>
        <w:ind w:firstLine="640" w:firstLineChars="200"/>
        <w:rPr>
          <w:rFonts w:hint="default" w:ascii="Times New Roman" w:hAnsi="Times New Roman" w:cs="Times New Roman"/>
          <w:color w:val="000000"/>
          <w:szCs w:val="32"/>
          <w:lang w:eastAsia="zh-CN"/>
        </w:rPr>
      </w:pPr>
      <w:r>
        <w:rPr>
          <w:rFonts w:hint="eastAsia" w:cs="Times New Roman"/>
          <w:color w:val="000000"/>
          <w:szCs w:val="32"/>
          <w:lang w:eastAsia="zh-CN"/>
        </w:rPr>
        <w:t>本年度未收取信息处理费。</w:t>
      </w:r>
    </w:p>
    <w:p>
      <w:pPr>
        <w:spacing w:line="600" w:lineRule="exact"/>
        <w:ind w:firstLine="640" w:firstLineChars="200"/>
        <w:rPr>
          <w:rFonts w:hint="default" w:ascii="Times New Roman" w:hAnsi="Times New Roman" w:cs="Times New Roman"/>
          <w:color w:val="000000"/>
          <w:szCs w:val="32"/>
          <w:lang w:eastAsia="zh-CN"/>
        </w:rPr>
      </w:pPr>
    </w:p>
    <w:p>
      <w:pPr>
        <w:wordWrap w:val="0"/>
        <w:spacing w:line="600" w:lineRule="exact"/>
        <w:ind w:firstLine="640" w:firstLineChars="200"/>
        <w:jc w:val="right"/>
        <w:rPr>
          <w:rFonts w:hint="default" w:cs="Times New Roman"/>
          <w:color w:val="000000"/>
          <w:szCs w:val="32"/>
          <w:lang w:val="en-US" w:eastAsia="zh-CN"/>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C5A9"/>
    <w:multiLevelType w:val="singleLevel"/>
    <w:tmpl w:val="BF6EC5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D4C51"/>
    <w:rsid w:val="034158AF"/>
    <w:rsid w:val="053A54FB"/>
    <w:rsid w:val="17FFED45"/>
    <w:rsid w:val="1A7FFEF3"/>
    <w:rsid w:val="1B0E2C71"/>
    <w:rsid w:val="1ED318A0"/>
    <w:rsid w:val="1FFF09AE"/>
    <w:rsid w:val="20EA3839"/>
    <w:rsid w:val="2FB427CE"/>
    <w:rsid w:val="3DB64D77"/>
    <w:rsid w:val="47F84F95"/>
    <w:rsid w:val="57BD4C51"/>
    <w:rsid w:val="59DD7F4C"/>
    <w:rsid w:val="6FEE2C79"/>
    <w:rsid w:val="6FFF910C"/>
    <w:rsid w:val="72C2032C"/>
    <w:rsid w:val="776B3F01"/>
    <w:rsid w:val="7BBD3280"/>
    <w:rsid w:val="7BDB4A26"/>
    <w:rsid w:val="7BFF4759"/>
    <w:rsid w:val="7FED08B3"/>
    <w:rsid w:val="ABF81890"/>
    <w:rsid w:val="B55F98E6"/>
    <w:rsid w:val="B775BB81"/>
    <w:rsid w:val="BBEE3C09"/>
    <w:rsid w:val="BFFF156D"/>
    <w:rsid w:val="CE7F112A"/>
    <w:rsid w:val="D9AF4BD1"/>
    <w:rsid w:val="DFFABAA2"/>
    <w:rsid w:val="DFFD2EA8"/>
    <w:rsid w:val="E33FA5AF"/>
    <w:rsid w:val="EDFB5A54"/>
    <w:rsid w:val="F7FFC111"/>
    <w:rsid w:val="FEC6FE40"/>
    <w:rsid w:val="FEEF94B1"/>
    <w:rsid w:val="FF0ED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1141</Words>
  <Characters>1180</Characters>
  <Lines>0</Lines>
  <Paragraphs>0</Paragraphs>
  <TotalTime>29</TotalTime>
  <ScaleCrop>false</ScaleCrop>
  <LinksUpToDate>false</LinksUpToDate>
  <CharactersWithSpaces>1180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2024-01-16T08:00:00Z</dcterms:created>
  <dc:creator>scjgj</dc:creator>
  <cp:lastModifiedBy>scjgj</cp:lastModifiedBy>
  <cp:lastPrinted>2025-01-21T01:25:00Z</cp:lastPrinted>
  <dcterms:modified xsi:type="dcterms:W3CDTF">2025-01-22T10:34:45Z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eyJoZGlkIjoiYmYwYjg4NDgzZGU2ZTg2ZmU4OGE2MzI5MDFhZjQ5N2MiLCJ1c2VySWQiOiIxNTU5NDUyNzgwIn0=</vt:lpwstr>
  </property>
  <property fmtid="{D5CDD505-2E9C-101B-9397-08002B2CF9AE}" pid="4" name="ICV">
    <vt:lpwstr>107F9B053E004CB1B2804FCDBB5980FF_13</vt:lpwstr>
  </property>
</Properties>
</file>