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8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重庆市九龙坡区市场监督管理局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8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据《中华人民共和国政府信息公开条例》规定，本单位现依法向社会公众公开202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年政府信息公开工作年度报告。本报告信息数据统计期限为：2024年1月1日—2024年12月31日。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2024年，重庆市九龙坡区市场监督管理局严格遵循《中华人民共和国政府信息公开条例》，立足九龙坡区市场监管工作实际情况，扎实有力推进政府信息公开工作。</w:t>
      </w:r>
    </w:p>
    <w:p>
      <w:pPr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。2024年，我局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始终坚持“以公开为常态、不公开为例外”的原则，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通过部门网站主动公开各类政务信息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617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条，其中公示公告类信息125条、监督检查46条、行政许可70条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、其他各类信息439条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同时，通过国家企业信用信息系统及时对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企业经营异常名录信息进行了公示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收到信息公开申请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办结答复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35件，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结转202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年延续办理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年，我局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认真贯彻落实政务公开工作会议要求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和文件精神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指定专人负责，确保我局政府信息公开工作顺利开展，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力求做到应公开尽公开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对发现的问题即刻整改。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（四）政府信息平台建设情况。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我局坚定不移地推进网站集约化整合进程，秉持开放兼容与稳步推进的准则，将重庆市市场监督管理局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子网站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与九龙坡区人民政府官方网站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为政府信息发布的核心阵地。不断强化网站内容的日常维护管理，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着力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提高信息发布的即时性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、准确性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。不断推动反垄断及反不正当竞争领域、食品药品监管领域的基层政务公开专栏搭建工作，为公众提供更便捷、更全面的政务信息服务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垄断和反不正当竞争信息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，公开食品药品监管领域基层政务公开专栏信息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我局严格依据法律法规，对拟公开信息进行全面审查，各分管领导对信息内容进行审核，切实保障公开信息准确、规范，符合相关规定要求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，全年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未发生政府信息公开有关责任追究情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况。同时，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加强对政府信息公开工作的督促检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年开展、参与政务公开工作业务培训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次，进行检查通报和部署整改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19998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3.1425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bidi w:val="0"/>
        <w:spacing w:before="0" w:beforeAutospacing="0" w:after="0" w:afterAutospacing="0"/>
        <w:ind w:right="0"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（一）存在的问题。一是发布的个别信息用词用句不够规范、准确；二是对群众如何正确运用政府信息公开的宣传、引导不足。</w:t>
      </w:r>
    </w:p>
    <w:p>
      <w:pPr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（二）下一步改进措施。一是进一步严格落实审查机制，加强对干部职工的信息发布业务培训；二是加大宣传工作的强度，引导公众准确运用政府信息公开申请途径。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right="0"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微软雅黑" w:hAnsi="微软雅黑" w:eastAsia="方正仿宋_GBK" w:cs="微软雅黑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本机关严格落实《政府信息公开条例》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要求，完成政务公开各项工作。本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未收取信息处理费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，无其他需报告事项。</w:t>
      </w:r>
    </w:p>
    <w:p>
      <w:pPr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4E49"/>
    <w:rsid w:val="03212879"/>
    <w:rsid w:val="03E07A24"/>
    <w:rsid w:val="075F5104"/>
    <w:rsid w:val="09896468"/>
    <w:rsid w:val="0C364685"/>
    <w:rsid w:val="0DFF57C8"/>
    <w:rsid w:val="12464C42"/>
    <w:rsid w:val="18357EE7"/>
    <w:rsid w:val="191C723B"/>
    <w:rsid w:val="1EB6139C"/>
    <w:rsid w:val="25AF576B"/>
    <w:rsid w:val="2EE34571"/>
    <w:rsid w:val="2EFB7771"/>
    <w:rsid w:val="34B47F8E"/>
    <w:rsid w:val="34F605A6"/>
    <w:rsid w:val="35887BD1"/>
    <w:rsid w:val="37C87FD8"/>
    <w:rsid w:val="37CF7AE0"/>
    <w:rsid w:val="38FD63A7"/>
    <w:rsid w:val="396E2E01"/>
    <w:rsid w:val="3A6F0BDF"/>
    <w:rsid w:val="3EEC33A9"/>
    <w:rsid w:val="48D50670"/>
    <w:rsid w:val="48D70F0D"/>
    <w:rsid w:val="4BD250EC"/>
    <w:rsid w:val="4C455C43"/>
    <w:rsid w:val="4E514C3C"/>
    <w:rsid w:val="524C5CDC"/>
    <w:rsid w:val="5527584B"/>
    <w:rsid w:val="55BB0D24"/>
    <w:rsid w:val="568420E4"/>
    <w:rsid w:val="56B31269"/>
    <w:rsid w:val="5A853E34"/>
    <w:rsid w:val="5D8B4513"/>
    <w:rsid w:val="5E824F54"/>
    <w:rsid w:val="5EF77271"/>
    <w:rsid w:val="61E6537B"/>
    <w:rsid w:val="63E678B4"/>
    <w:rsid w:val="67277FC8"/>
    <w:rsid w:val="675D3F22"/>
    <w:rsid w:val="6B1C4378"/>
    <w:rsid w:val="6C4369B9"/>
    <w:rsid w:val="6CE02CFC"/>
    <w:rsid w:val="6EAE5FF2"/>
    <w:rsid w:val="6F383814"/>
    <w:rsid w:val="6FF965C3"/>
    <w:rsid w:val="74EA78CB"/>
    <w:rsid w:val="77F10152"/>
    <w:rsid w:val="7A1563A6"/>
    <w:rsid w:val="7F4A728E"/>
    <w:rsid w:val="7F7F453B"/>
    <w:rsid w:val="7FB9CE5F"/>
    <w:rsid w:val="7FFF5284"/>
    <w:rsid w:val="8F4E30C8"/>
    <w:rsid w:val="AFAFB267"/>
    <w:rsid w:val="BF7B0219"/>
    <w:rsid w:val="FDBE2818"/>
    <w:rsid w:val="FF9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1975</Words>
  <Characters>2059</Characters>
  <Lines>0</Lines>
  <Paragraphs>0</Paragraphs>
  <TotalTime>3</TotalTime>
  <ScaleCrop>false</ScaleCrop>
  <LinksUpToDate>false</LinksUpToDate>
  <CharactersWithSpaces>2073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2025-01-14T01:55:00Z</dcterms:created>
  <dc:creator>Administrator</dc:creator>
  <cp:lastModifiedBy>scjgj</cp:lastModifiedBy>
  <cp:lastPrinted>2025-01-17T01:44:00Z</cp:lastPrinted>
  <dcterms:modified xsi:type="dcterms:W3CDTF">2025-01-21T14:52:44Z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eyJoZGlkIjoiMjBjZGJjNTAyNWNmNDU0NTlkNzE2ZTkwODE2NTM0MDkiLCJ1c2VySWQiOiI2OTkxMDk2MDMifQ==</vt:lpwstr>
  </property>
  <property fmtid="{D5CDD505-2E9C-101B-9397-08002B2CF9AE}" pid="4" name="ICV">
    <vt:lpwstr>A79E9A1F0D8C47718D1C325F828550DC_12</vt:lpwstr>
  </property>
</Properties>
</file>