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20" w:rsidRDefault="00681D20">
      <w:pPr>
        <w:spacing w:line="540" w:lineRule="exact"/>
      </w:pPr>
      <w:bookmarkStart w:id="0" w:name="_GoBack"/>
      <w:bookmarkEnd w:id="0"/>
    </w:p>
    <w:p w:rsidR="00681D20" w:rsidRDefault="00681D20">
      <w:pPr>
        <w:spacing w:line="540" w:lineRule="exact"/>
        <w:rPr>
          <w:rFonts w:ascii="方正小标宋_GBK" w:eastAsia="方正小标宋_GBK" w:hAnsi="方正小标宋_GBK" w:cs="方正小标宋_GBK"/>
          <w:szCs w:val="32"/>
        </w:rPr>
      </w:pPr>
    </w:p>
    <w:p w:rsidR="00681D20" w:rsidRDefault="00555CFA">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重庆市市场监督管理局</w:t>
      </w:r>
    </w:p>
    <w:p w:rsidR="00681D20" w:rsidRDefault="00555CFA">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14"/>
          <w:sz w:val="44"/>
          <w:szCs w:val="44"/>
        </w:rPr>
        <w:t>关于贯彻落实《电梯监督检验和定期检验规则》和</w:t>
      </w:r>
      <w:r>
        <w:rPr>
          <w:rFonts w:ascii="方正小标宋_GBK" w:eastAsia="方正小标宋_GBK" w:hAnsi="方正小标宋_GBK" w:cs="方正小标宋_GBK" w:hint="eastAsia"/>
          <w:sz w:val="44"/>
          <w:szCs w:val="44"/>
        </w:rPr>
        <w:t>《电梯自行检测规则》的通知</w:t>
      </w:r>
    </w:p>
    <w:p w:rsidR="00681D20" w:rsidRDefault="00555CFA">
      <w:pPr>
        <w:jc w:val="center"/>
      </w:pPr>
      <w:r>
        <w:rPr>
          <w:rFonts w:hint="eastAsia"/>
        </w:rPr>
        <w:t>渝市监发</w:t>
      </w:r>
      <w:r>
        <w:rPr>
          <w:color w:val="000000"/>
        </w:rPr>
        <w:t>〔</w:t>
      </w:r>
      <w:r>
        <w:rPr>
          <w:rFonts w:hint="eastAsia"/>
          <w:color w:val="000000"/>
        </w:rPr>
        <w:t>2023</w:t>
      </w:r>
      <w:r>
        <w:rPr>
          <w:color w:val="000000"/>
        </w:rPr>
        <w:t>〕</w:t>
      </w:r>
      <w:r>
        <w:rPr>
          <w:rFonts w:hint="eastAsia"/>
          <w:color w:val="000000"/>
        </w:rPr>
        <w:t>51</w:t>
      </w:r>
      <w:r>
        <w:rPr>
          <w:color w:val="000000"/>
        </w:rPr>
        <w:t>号</w:t>
      </w:r>
    </w:p>
    <w:p w:rsidR="00681D20" w:rsidRDefault="00681D20">
      <w:pPr>
        <w:spacing w:line="600" w:lineRule="exact"/>
        <w:rPr>
          <w:rFonts w:ascii="方正仿宋_GBK" w:hAnsi="方正仿宋_GBK" w:cs="方正仿宋_GBK"/>
        </w:rPr>
      </w:pPr>
    </w:p>
    <w:p w:rsidR="00681D20" w:rsidRDefault="00555CFA">
      <w:pPr>
        <w:spacing w:line="600" w:lineRule="exact"/>
        <w:rPr>
          <w:rFonts w:ascii="方正仿宋_GBK" w:hAnsi="方正仿宋_GBK" w:cs="方正仿宋_GBK"/>
          <w:color w:val="FF0000"/>
          <w:szCs w:val="32"/>
        </w:rPr>
      </w:pPr>
      <w:r>
        <w:rPr>
          <w:rFonts w:ascii="方正仿宋_GBK" w:hAnsi="方正仿宋_GBK" w:cs="方正仿宋_GBK" w:hint="eastAsia"/>
          <w:szCs w:val="32"/>
        </w:rPr>
        <w:t>各区县局，执法总队，市特检院、市质安考试中心，电梯检验检测单位，电梯生产、使用单位：</w:t>
      </w:r>
    </w:p>
    <w:p w:rsidR="00681D20" w:rsidRDefault="00555CFA">
      <w:pPr>
        <w:kinsoku w:val="0"/>
        <w:wordWrap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为贯彻落实好市场监管总局新发布的《电梯监督检验和定期检验规则》</w:t>
      </w:r>
      <w:r>
        <w:rPr>
          <w:szCs w:val="32"/>
        </w:rPr>
        <w:t>（</w:t>
      </w:r>
      <w:r>
        <w:rPr>
          <w:szCs w:val="32"/>
        </w:rPr>
        <w:t>TSG T7001</w:t>
      </w:r>
      <w:r>
        <w:rPr>
          <w:rFonts w:hint="eastAsia"/>
          <w:szCs w:val="32"/>
        </w:rPr>
        <w:t>—</w:t>
      </w:r>
      <w:r>
        <w:rPr>
          <w:szCs w:val="32"/>
        </w:rPr>
        <w:t>2023</w:t>
      </w:r>
      <w:r>
        <w:rPr>
          <w:szCs w:val="32"/>
        </w:rPr>
        <w:t>）（</w:t>
      </w:r>
      <w:r>
        <w:rPr>
          <w:rFonts w:ascii="方正仿宋_GBK" w:hAnsi="方正仿宋_GBK" w:cs="方正仿宋_GBK" w:hint="eastAsia"/>
          <w:szCs w:val="32"/>
        </w:rPr>
        <w:t>以下简称“新版检规”）《电梯自行检测规则》（</w:t>
      </w:r>
      <w:r>
        <w:rPr>
          <w:szCs w:val="32"/>
        </w:rPr>
        <w:t xml:space="preserve">TSG </w:t>
      </w:r>
      <w:r>
        <w:rPr>
          <w:szCs w:val="32"/>
        </w:rPr>
        <w:t>T7008</w:t>
      </w:r>
      <w:r>
        <w:rPr>
          <w:rFonts w:hint="eastAsia"/>
          <w:szCs w:val="32"/>
        </w:rPr>
        <w:t>—</w:t>
      </w:r>
      <w:r>
        <w:rPr>
          <w:szCs w:val="32"/>
        </w:rPr>
        <w:t>2023</w:t>
      </w:r>
      <w:r>
        <w:rPr>
          <w:szCs w:val="32"/>
        </w:rPr>
        <w:t>）（</w:t>
      </w:r>
      <w:r>
        <w:rPr>
          <w:rFonts w:ascii="方正仿宋_GBK" w:hAnsi="方正仿宋_GBK" w:cs="方正仿宋_GBK" w:hint="eastAsia"/>
          <w:szCs w:val="32"/>
        </w:rPr>
        <w:t>以下简称“检测规则”），现就平稳有序推进相关工作通知如下：</w:t>
      </w:r>
    </w:p>
    <w:p w:rsidR="00681D20" w:rsidRDefault="00555CFA">
      <w:pPr>
        <w:kinsoku w:val="0"/>
        <w:wordWrap w:val="0"/>
        <w:spacing w:line="600" w:lineRule="exact"/>
        <w:ind w:firstLineChars="200" w:firstLine="632"/>
        <w:rPr>
          <w:rFonts w:ascii="方正黑体_GBK" w:eastAsia="方正黑体_GBK" w:hAnsi="方正黑体_GBK"/>
          <w:szCs w:val="32"/>
        </w:rPr>
      </w:pPr>
      <w:r>
        <w:rPr>
          <w:rFonts w:ascii="方正黑体_GBK" w:eastAsia="方正黑体_GBK" w:hAnsi="方正黑体_GBK" w:hint="eastAsia"/>
          <w:szCs w:val="32"/>
        </w:rPr>
        <w:t>一、总体要求</w:t>
      </w:r>
    </w:p>
    <w:p w:rsidR="00681D20" w:rsidRDefault="00555CFA">
      <w:pPr>
        <w:spacing w:line="600" w:lineRule="exact"/>
        <w:ind w:firstLineChars="200" w:firstLine="632"/>
        <w:rPr>
          <w:rFonts w:ascii="方正仿宋_GBK" w:hAnsi="方正仿宋_GBK" w:cs="方正仿宋_GBK"/>
          <w:szCs w:val="32"/>
        </w:rPr>
      </w:pPr>
      <w:r>
        <w:rPr>
          <w:rFonts w:ascii="方正仿宋_GBK" w:hAnsi="方正仿宋_GBK" w:cs="方正仿宋_GBK"/>
          <w:szCs w:val="32"/>
        </w:rPr>
        <w:t>充分发挥</w:t>
      </w:r>
      <w:r>
        <w:rPr>
          <w:rFonts w:ascii="方正仿宋_GBK" w:hAnsi="方正仿宋_GBK" w:cs="方正仿宋_GBK" w:hint="eastAsia"/>
          <w:szCs w:val="32"/>
        </w:rPr>
        <w:t>电梯</w:t>
      </w:r>
      <w:r>
        <w:rPr>
          <w:rFonts w:ascii="方正仿宋_GBK" w:hAnsi="方正仿宋_GBK" w:cs="方正仿宋_GBK"/>
          <w:szCs w:val="32"/>
        </w:rPr>
        <w:t>检验</w:t>
      </w:r>
      <w:r>
        <w:rPr>
          <w:rFonts w:ascii="方正仿宋_GBK" w:hAnsi="方正仿宋_GBK" w:cs="方正仿宋_GBK" w:hint="eastAsia"/>
          <w:szCs w:val="32"/>
        </w:rPr>
        <w:t>的</w:t>
      </w:r>
      <w:r>
        <w:rPr>
          <w:rFonts w:ascii="方正仿宋_GBK" w:hAnsi="方正仿宋_GBK" w:cs="方正仿宋_GBK"/>
          <w:szCs w:val="32"/>
        </w:rPr>
        <w:t>技术监督</w:t>
      </w:r>
      <w:r>
        <w:rPr>
          <w:rFonts w:ascii="方正仿宋_GBK" w:hAnsi="方正仿宋_GBK" w:cs="方正仿宋_GBK" w:hint="eastAsia"/>
          <w:szCs w:val="32"/>
        </w:rPr>
        <w:t>和</w:t>
      </w:r>
      <w:r>
        <w:rPr>
          <w:rFonts w:ascii="方正仿宋_GBK" w:hAnsi="方正仿宋_GBK" w:cs="方正仿宋_GBK"/>
          <w:szCs w:val="32"/>
        </w:rPr>
        <w:t>检测</w:t>
      </w:r>
      <w:r>
        <w:rPr>
          <w:rFonts w:ascii="方正仿宋_GBK" w:hAnsi="方正仿宋_GBK" w:cs="方正仿宋_GBK" w:hint="eastAsia"/>
          <w:szCs w:val="32"/>
        </w:rPr>
        <w:t>的</w:t>
      </w:r>
      <w:r>
        <w:rPr>
          <w:rFonts w:ascii="方正仿宋_GBK" w:hAnsi="方正仿宋_GBK" w:cs="方正仿宋_GBK"/>
          <w:szCs w:val="32"/>
        </w:rPr>
        <w:t>技术诊断作用，</w:t>
      </w:r>
      <w:r>
        <w:rPr>
          <w:rFonts w:ascii="方正仿宋_GBK" w:hAnsi="方正仿宋_GBK" w:cs="方正仿宋_GBK" w:hint="eastAsia"/>
          <w:szCs w:val="32"/>
        </w:rPr>
        <w:t>进一步</w:t>
      </w:r>
      <w:r>
        <w:rPr>
          <w:szCs w:val="32"/>
        </w:rPr>
        <w:t>强化电梯</w:t>
      </w:r>
      <w:r>
        <w:rPr>
          <w:rFonts w:ascii="方正仿宋_GBK" w:hAnsi="方正仿宋_GBK" w:cs="方正仿宋_GBK"/>
          <w:szCs w:val="32"/>
        </w:rPr>
        <w:t>使用单位</w:t>
      </w:r>
      <w:r>
        <w:rPr>
          <w:rFonts w:ascii="方正仿宋_GBK" w:hAnsi="方正仿宋_GBK" w:cs="方正仿宋_GBK" w:hint="eastAsia"/>
          <w:szCs w:val="32"/>
        </w:rPr>
        <w:t>“日管控、周排查、月调度”</w:t>
      </w:r>
      <w:r>
        <w:rPr>
          <w:rFonts w:ascii="方正仿宋_GBK" w:hAnsi="方正仿宋_GBK" w:cs="方正仿宋_GBK"/>
          <w:szCs w:val="32"/>
        </w:rPr>
        <w:t>安全管理主体</w:t>
      </w:r>
      <w:r>
        <w:rPr>
          <w:rFonts w:ascii="方正仿宋_GBK" w:hAnsi="方正仿宋_GBK" w:cs="方正仿宋_GBK" w:hint="eastAsia"/>
          <w:szCs w:val="32"/>
        </w:rPr>
        <w:t>责任落实，努力提升全市电梯质量安全水平。</w:t>
      </w:r>
    </w:p>
    <w:p w:rsidR="00681D20" w:rsidRDefault="00555CFA">
      <w:pPr>
        <w:spacing w:line="600" w:lineRule="exact"/>
        <w:ind w:firstLineChars="200" w:firstLine="632"/>
        <w:rPr>
          <w:rFonts w:ascii="方正黑体_GBK" w:eastAsia="方正黑体_GBK" w:hAnsi="方正黑体_GBK"/>
          <w:szCs w:val="32"/>
        </w:rPr>
      </w:pPr>
      <w:r>
        <w:rPr>
          <w:rFonts w:ascii="方正黑体_GBK" w:eastAsia="方正黑体_GBK" w:hAnsi="方正黑体_GBK" w:hint="eastAsia"/>
          <w:szCs w:val="32"/>
        </w:rPr>
        <w:t>二、检验检测工作要求</w:t>
      </w:r>
    </w:p>
    <w:p w:rsidR="00681D20" w:rsidRDefault="00555CFA">
      <w:pPr>
        <w:wordWrap w:val="0"/>
        <w:spacing w:line="600" w:lineRule="exact"/>
        <w:ind w:firstLineChars="200" w:firstLine="632"/>
        <w:rPr>
          <w:szCs w:val="32"/>
        </w:rPr>
      </w:pPr>
      <w:r>
        <w:rPr>
          <w:rFonts w:ascii="方正楷体_GBK" w:eastAsia="方正楷体_GBK" w:hAnsi="方正楷体_GBK" w:cs="方正楷体_GBK" w:hint="eastAsia"/>
          <w:szCs w:val="32"/>
        </w:rPr>
        <w:lastRenderedPageBreak/>
        <w:t>（一）</w:t>
      </w:r>
      <w:r>
        <w:rPr>
          <w:rFonts w:ascii="方正楷体_GBK" w:eastAsia="方正楷体_GBK" w:hAnsi="方正楷体_GBK" w:cs="方正楷体_GBK" w:hint="eastAsia"/>
          <w:szCs w:val="32"/>
        </w:rPr>
        <w:t>检验检测单位系统对接。</w:t>
      </w:r>
      <w:r>
        <w:rPr>
          <w:rFonts w:ascii="方正仿宋_GBK" w:hAnsi="方正仿宋_GBK" w:cs="方正仿宋_GBK" w:hint="eastAsia"/>
          <w:szCs w:val="32"/>
        </w:rPr>
        <w:t>从事检测工作的电梯使用单位、维保</w:t>
      </w:r>
      <w:r>
        <w:rPr>
          <w:szCs w:val="32"/>
        </w:rPr>
        <w:t>单位、第三方检验检测机构，需登录重庆市特种设备信息化管理平台（网址：</w:t>
      </w:r>
      <w:hyperlink r:id="rId8" w:history="1">
        <w:r>
          <w:rPr>
            <w:rStyle w:val="a9"/>
            <w:color w:val="auto"/>
            <w:szCs w:val="32"/>
            <w:u w:val="none"/>
          </w:rPr>
          <w:t>http://www.cqtzsb.org/</w:t>
        </w:r>
        <w:r>
          <w:rPr>
            <w:rStyle w:val="a9"/>
            <w:color w:val="auto"/>
            <w:szCs w:val="32"/>
            <w:u w:val="none"/>
          </w:rPr>
          <w:t>），上传证照资料，录入相关信息。</w:t>
        </w:r>
      </w:hyperlink>
      <w:r>
        <w:rPr>
          <w:rFonts w:ascii="方正仿宋_GBK" w:hAnsi="方正仿宋_GBK" w:cs="方正仿宋_GBK" w:hint="eastAsia"/>
          <w:szCs w:val="32"/>
        </w:rPr>
        <w:t>同时将电梯检验检测管理系统与重庆市特种设备信化息管理平台对接。已按《市场监管总局关于进一步做好改革</w:t>
      </w:r>
      <w:r>
        <w:rPr>
          <w:rFonts w:ascii="方正仿宋_GBK" w:hAnsi="方正仿宋_GBK" w:cs="方正仿宋_GBK" w:hint="eastAsia"/>
          <w:spacing w:val="2"/>
          <w:szCs w:val="32"/>
        </w:rPr>
        <w:t>电梯维护保养模式和调整电梯检验检测方式试点工作》（国市监特</w:t>
      </w:r>
      <w:r>
        <w:rPr>
          <w:rFonts w:ascii="方正仿宋_GBK" w:hAnsi="方正仿宋_GBK" w:cs="方正仿宋_GBK" w:hint="eastAsia"/>
          <w:szCs w:val="32"/>
        </w:rPr>
        <w:t>设〔</w:t>
      </w:r>
      <w:r>
        <w:rPr>
          <w:szCs w:val="32"/>
        </w:rPr>
        <w:t>2023</w:t>
      </w:r>
      <w:r>
        <w:rPr>
          <w:szCs w:val="32"/>
        </w:rPr>
        <w:t>〕</w:t>
      </w:r>
      <w:r>
        <w:rPr>
          <w:szCs w:val="32"/>
        </w:rPr>
        <w:t>56</w:t>
      </w:r>
      <w:r>
        <w:rPr>
          <w:szCs w:val="32"/>
        </w:rPr>
        <w:t>号，以下简称</w:t>
      </w:r>
      <w:r>
        <w:rPr>
          <w:szCs w:val="32"/>
        </w:rPr>
        <w:t>56</w:t>
      </w:r>
      <w:r>
        <w:rPr>
          <w:szCs w:val="32"/>
        </w:rPr>
        <w:t>号文）完成对接的检验检测单位，也应重新按新的检验检测规则要求开展相关信息对接。</w:t>
      </w:r>
    </w:p>
    <w:p w:rsidR="00681D20" w:rsidRDefault="00555CFA">
      <w:pPr>
        <w:wordWrap w:val="0"/>
        <w:spacing w:line="600" w:lineRule="exact"/>
        <w:ind w:firstLineChars="200" w:firstLine="632"/>
        <w:rPr>
          <w:rFonts w:ascii="方正仿宋_GBK" w:hAnsi="方正仿宋_GBK" w:cs="方正仿宋_GBK"/>
          <w:szCs w:val="32"/>
        </w:rPr>
      </w:pPr>
      <w:r>
        <w:rPr>
          <w:szCs w:val="32"/>
        </w:rPr>
        <w:t>开展自行检测的单位必须配备足量具有电梯检验员、检验师及以</w:t>
      </w:r>
      <w:r>
        <w:rPr>
          <w:szCs w:val="32"/>
        </w:rPr>
        <w:t>上资格的人员，满足检测规则第</w:t>
      </w:r>
      <w:r>
        <w:rPr>
          <w:szCs w:val="32"/>
        </w:rPr>
        <w:t>3.8</w:t>
      </w:r>
      <w:r>
        <w:rPr>
          <w:szCs w:val="32"/>
        </w:rPr>
        <w:t>条关</w:t>
      </w:r>
      <w:r>
        <w:rPr>
          <w:rFonts w:ascii="方正仿宋_GBK" w:hAnsi="方正仿宋_GBK" w:cs="方正仿宋_GBK" w:hint="eastAsia"/>
          <w:szCs w:val="32"/>
        </w:rPr>
        <w:t>于检测、审核、批准人员应当为不同人员的规定。电梯使用或维保单位开展自行检测，仅限于本单位使用管理、维保的电梯。</w:t>
      </w:r>
    </w:p>
    <w:p w:rsidR="00681D20" w:rsidRDefault="00555CFA">
      <w:pPr>
        <w:wordWrap w:val="0"/>
        <w:spacing w:line="600" w:lineRule="exact"/>
        <w:ind w:firstLineChars="200" w:firstLine="632"/>
        <w:rPr>
          <w:rFonts w:ascii="方正楷体_GBK" w:eastAsia="方正楷体_GBK" w:hAnsi="方正楷体_GBK" w:cs="方正楷体_GBK"/>
          <w:szCs w:val="32"/>
        </w:rPr>
      </w:pPr>
      <w:r>
        <w:rPr>
          <w:rFonts w:ascii="方正楷体_GBK" w:eastAsia="方正楷体_GBK" w:hAnsi="方正楷体_GBK" w:cs="方正楷体_GBK" w:hint="eastAsia"/>
          <w:szCs w:val="32"/>
        </w:rPr>
        <w:t>（二）检验检测周期判定。</w:t>
      </w:r>
      <w:r>
        <w:rPr>
          <w:rFonts w:ascii="方正仿宋_GBK" w:hAnsi="方正仿宋_GBK" w:cs="方正仿宋_GBK" w:hint="eastAsia"/>
          <w:szCs w:val="32"/>
        </w:rPr>
        <w:t>新安装电梯，以安装监督检验合格日期</w:t>
      </w:r>
      <w:r>
        <w:rPr>
          <w:szCs w:val="32"/>
        </w:rPr>
        <w:t>为基准计算梯龄；</w:t>
      </w:r>
      <w:r>
        <w:rPr>
          <w:szCs w:val="32"/>
        </w:rPr>
        <w:t>按照新版检规进行改造的电梯，以最近一次改造监督检验合格日期为基准重新计算梯龄；进行重大修理或停用</w:t>
      </w:r>
      <w:r>
        <w:rPr>
          <w:szCs w:val="32"/>
        </w:rPr>
        <w:t>1</w:t>
      </w:r>
      <w:r>
        <w:rPr>
          <w:szCs w:val="32"/>
        </w:rPr>
        <w:t>年以上的电梯，下次检验检测日期以最近一次监督检验或定期检验合格日期所在月份为基准确定，不重新计算梯龄；停用未超过</w:t>
      </w:r>
      <w:r>
        <w:rPr>
          <w:szCs w:val="32"/>
        </w:rPr>
        <w:t>1</w:t>
      </w:r>
      <w:r>
        <w:rPr>
          <w:szCs w:val="32"/>
        </w:rPr>
        <w:t>年，且在启用前超过定期检验和自行检测有效期的电梯，应开展相应的检验检测。</w:t>
      </w:r>
      <w:r>
        <w:rPr>
          <w:szCs w:val="32"/>
        </w:rPr>
        <w:t>15</w:t>
      </w:r>
      <w:r>
        <w:rPr>
          <w:szCs w:val="32"/>
        </w:rPr>
        <w:t>年以内的电梯，分别在第</w:t>
      </w:r>
      <w:r>
        <w:rPr>
          <w:szCs w:val="32"/>
        </w:rPr>
        <w:t>1</w:t>
      </w:r>
      <w:r>
        <w:rPr>
          <w:szCs w:val="32"/>
        </w:rPr>
        <w:t>、第</w:t>
      </w:r>
      <w:r>
        <w:rPr>
          <w:szCs w:val="32"/>
        </w:rPr>
        <w:lastRenderedPageBreak/>
        <w:t>4</w:t>
      </w:r>
      <w:r>
        <w:rPr>
          <w:szCs w:val="32"/>
        </w:rPr>
        <w:t>、第</w:t>
      </w:r>
      <w:r>
        <w:rPr>
          <w:szCs w:val="32"/>
        </w:rPr>
        <w:t>7</w:t>
      </w:r>
      <w:r>
        <w:rPr>
          <w:szCs w:val="32"/>
        </w:rPr>
        <w:t>、第</w:t>
      </w:r>
      <w:r>
        <w:rPr>
          <w:szCs w:val="32"/>
        </w:rPr>
        <w:t>9</w:t>
      </w:r>
      <w:r>
        <w:rPr>
          <w:szCs w:val="32"/>
        </w:rPr>
        <w:t>、第</w:t>
      </w:r>
      <w:r>
        <w:rPr>
          <w:szCs w:val="32"/>
        </w:rPr>
        <w:t>11</w:t>
      </w:r>
      <w:r>
        <w:rPr>
          <w:szCs w:val="32"/>
        </w:rPr>
        <w:t>、第</w:t>
      </w:r>
      <w:r>
        <w:rPr>
          <w:szCs w:val="32"/>
        </w:rPr>
        <w:t>13</w:t>
      </w:r>
      <w:r>
        <w:rPr>
          <w:szCs w:val="32"/>
        </w:rPr>
        <w:t>、第</w:t>
      </w:r>
      <w:r>
        <w:rPr>
          <w:szCs w:val="32"/>
        </w:rPr>
        <w:t>15</w:t>
      </w:r>
      <w:r>
        <w:rPr>
          <w:szCs w:val="32"/>
        </w:rPr>
        <w:t>年进行一次定期检验，其他年份进行</w:t>
      </w:r>
      <w:r>
        <w:rPr>
          <w:szCs w:val="32"/>
        </w:rPr>
        <w:t>1</w:t>
      </w:r>
      <w:r>
        <w:rPr>
          <w:szCs w:val="32"/>
        </w:rPr>
        <w:t>次自行检测。</w:t>
      </w:r>
      <w:r>
        <w:rPr>
          <w:szCs w:val="32"/>
        </w:rPr>
        <w:t>超过</w:t>
      </w:r>
      <w:r>
        <w:rPr>
          <w:szCs w:val="32"/>
        </w:rPr>
        <w:t>15</w:t>
      </w:r>
      <w:r>
        <w:rPr>
          <w:szCs w:val="32"/>
        </w:rPr>
        <w:t>年的电梯，每年进行一次定期检验，不再开展自行检测。</w:t>
      </w:r>
      <w:r>
        <w:rPr>
          <w:szCs w:val="32"/>
        </w:rPr>
        <w:t>全市电梯由重庆市特种设备信息化系统自动计算梯龄，下次检验检测日期以系统</w:t>
      </w:r>
      <w:r>
        <w:rPr>
          <w:rFonts w:ascii="方正仿宋_GBK" w:hAnsi="方正仿宋_GBK" w:cs="方正仿宋_GBK" w:hint="eastAsia"/>
          <w:szCs w:val="32"/>
        </w:rPr>
        <w:t>生成为准。</w:t>
      </w:r>
    </w:p>
    <w:p w:rsidR="00681D20" w:rsidRDefault="00555CFA">
      <w:pPr>
        <w:wordWrap w:val="0"/>
        <w:spacing w:line="600" w:lineRule="exact"/>
        <w:ind w:firstLineChars="200" w:firstLine="632"/>
        <w:rPr>
          <w:szCs w:val="32"/>
        </w:rPr>
      </w:pPr>
      <w:r>
        <w:rPr>
          <w:rFonts w:ascii="方正楷体_GBK" w:eastAsia="方正楷体_GBK" w:hAnsi="方正楷体_GBK" w:cs="方正楷体_GBK" w:hint="eastAsia"/>
          <w:szCs w:val="32"/>
        </w:rPr>
        <w:t>（三）检测人员执业公示。</w:t>
      </w:r>
      <w:r>
        <w:rPr>
          <w:rFonts w:ascii="方正仿宋_GBK" w:hAnsi="方正仿宋_GBK" w:cs="方正仿宋_GBK" w:hint="eastAsia"/>
          <w:szCs w:val="32"/>
        </w:rPr>
        <w:t>从事自行检测的电梯使用或维保单位，应当依法在特种设备检验检测人员执业公示网站为本单位的检测人员办理执业注册公示，</w:t>
      </w:r>
      <w:r>
        <w:rPr>
          <w:szCs w:val="32"/>
        </w:rPr>
        <w:t>网址</w:t>
      </w:r>
      <w:hyperlink r:id="rId9" w:history="1">
        <w:r>
          <w:rPr>
            <w:rStyle w:val="a9"/>
            <w:color w:val="auto"/>
            <w:szCs w:val="32"/>
            <w:u w:val="none"/>
          </w:rPr>
          <w:t>http://219.141.208.170/casei/</w:t>
        </w:r>
        <w:r>
          <w:rPr>
            <w:rStyle w:val="a9"/>
            <w:color w:val="auto"/>
            <w:szCs w:val="32"/>
            <w:u w:val="none"/>
          </w:rPr>
          <w:t>。市场监管部门检查检测人员从业资格和执业情况，可登录网址</w:t>
        </w:r>
        <w:r>
          <w:rPr>
            <w:rStyle w:val="a9"/>
            <w:color w:val="auto"/>
            <w:szCs w:val="32"/>
            <w:u w:val="none"/>
          </w:rPr>
          <w:t>http://219.141.208.170/casei/regjster/personP</w:t>
        </w:r>
        <w:r>
          <w:rPr>
            <w:rStyle w:val="a9"/>
            <w:color w:val="auto"/>
            <w:szCs w:val="32"/>
            <w:u w:val="none"/>
          </w:rPr>
          <w:t>ubicAction!getProvin.cePersnInfiForm.action</w:t>
        </w:r>
        <w:r>
          <w:rPr>
            <w:rStyle w:val="a9"/>
            <w:color w:val="auto"/>
            <w:szCs w:val="32"/>
            <w:u w:val="none"/>
          </w:rPr>
          <w:t>，进行查询。</w:t>
        </w:r>
      </w:hyperlink>
    </w:p>
    <w:p w:rsidR="00681D20" w:rsidRDefault="00555CFA">
      <w:pPr>
        <w:wordWrap w:val="0"/>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（四）检测过程管理。</w:t>
      </w:r>
      <w:r>
        <w:rPr>
          <w:rFonts w:ascii="方正仿宋_GBK" w:hAnsi="方正仿宋_GBK" w:cs="方正仿宋_GBK" w:hint="eastAsia"/>
          <w:szCs w:val="32"/>
        </w:rPr>
        <w:t>电梯使用单位委托检验检测机构或者为使用管理电梯提供服务的维保单位开展自行检测，应当加强自电梯自行检测起至发现问题、整改问题、告知检测单位问题整改、检测单位对整改确认情况等全过程管理，确保电梯自行检测质量。</w:t>
      </w:r>
    </w:p>
    <w:p w:rsidR="00681D20" w:rsidRDefault="00555CFA">
      <w:pPr>
        <w:wordWrap w:val="0"/>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（五）检测结果运用。</w:t>
      </w:r>
      <w:r>
        <w:rPr>
          <w:rFonts w:ascii="方正仿宋_GBK" w:hAnsi="方正仿宋_GBK" w:cs="方正仿宋_GBK" w:hint="eastAsia"/>
          <w:szCs w:val="32"/>
        </w:rPr>
        <w:t>开展电梯自行检测工作，要在规定的时间内出具《电梯自行检测备忘录》和《电梯自行检测报告》；检测人员要对检测发现问题整改情况进行确认，检测备忘录应公示在电梯基站或轿</w:t>
      </w:r>
      <w:r>
        <w:rPr>
          <w:rFonts w:ascii="方正仿宋_GBK" w:hAnsi="方正仿宋_GBK" w:cs="方正仿宋_GBK" w:hint="eastAsia"/>
          <w:szCs w:val="32"/>
        </w:rPr>
        <w:t>厢内，公示期不少于</w:t>
      </w:r>
      <w:r>
        <w:rPr>
          <w:szCs w:val="32"/>
        </w:rPr>
        <w:t>15</w:t>
      </w:r>
      <w:r>
        <w:rPr>
          <w:rFonts w:ascii="方正仿宋_GBK" w:hAnsi="方正仿宋_GBK" w:cs="方正仿宋_GBK" w:hint="eastAsia"/>
          <w:szCs w:val="32"/>
        </w:rPr>
        <w:t>天。应及时将《电梯自行检测备忘录》和《电梯自行检测符合性声明》等自行检测结果，</w:t>
      </w:r>
      <w:r>
        <w:rPr>
          <w:rFonts w:ascii="方正仿宋_GBK" w:hAnsi="方正仿宋_GBK" w:cs="方正仿宋_GBK" w:hint="eastAsia"/>
          <w:szCs w:val="32"/>
        </w:rPr>
        <w:lastRenderedPageBreak/>
        <w:t>以及相关信息，上传至重庆市特种设备信息化管理系统。</w:t>
      </w:r>
    </w:p>
    <w:p w:rsidR="00681D20" w:rsidRDefault="00555CFA">
      <w:pPr>
        <w:wordWrap w:val="0"/>
        <w:spacing w:line="600" w:lineRule="exact"/>
        <w:ind w:firstLineChars="200" w:firstLine="632"/>
        <w:rPr>
          <w:rFonts w:ascii="方正黑体_GBK" w:eastAsia="方正黑体_GBK" w:hAnsi="方正黑体_GBK"/>
          <w:szCs w:val="32"/>
        </w:rPr>
      </w:pPr>
      <w:r>
        <w:rPr>
          <w:rFonts w:ascii="方正楷体_GBK" w:eastAsia="方正楷体_GBK" w:hAnsi="方正楷体_GBK" w:cs="方正楷体_GBK" w:hint="eastAsia"/>
          <w:szCs w:val="32"/>
        </w:rPr>
        <w:t>（六）换取使用标志。</w:t>
      </w:r>
      <w:r>
        <w:rPr>
          <w:rFonts w:ascii="方正仿宋_GBK" w:hAnsi="方正仿宋_GBK" w:cs="方正仿宋_GBK" w:hint="eastAsia"/>
          <w:szCs w:val="32"/>
        </w:rPr>
        <w:t>开展自行检测的电梯使用单位完成检测后，应当及时告知前一次开展定期检验的电梯检验机构，登录重庆市特种设备信息化管理系统对检测结果进行确认，由使用单位到检验机构指定地点，换取《特种设备使用标志》。</w:t>
      </w:r>
    </w:p>
    <w:p w:rsidR="00681D20" w:rsidRDefault="00555CFA">
      <w:pPr>
        <w:wordWrap w:val="0"/>
        <w:spacing w:line="600" w:lineRule="exact"/>
        <w:ind w:firstLineChars="200" w:firstLine="632"/>
        <w:rPr>
          <w:rFonts w:ascii="方正黑体_GBK" w:eastAsia="方正黑体_GBK" w:hAnsi="方正黑体_GBK"/>
          <w:szCs w:val="32"/>
        </w:rPr>
      </w:pPr>
      <w:r>
        <w:rPr>
          <w:rFonts w:ascii="方正黑体_GBK" w:eastAsia="方正黑体_GBK" w:hAnsi="方正黑体_GBK" w:hint="eastAsia"/>
          <w:szCs w:val="32"/>
        </w:rPr>
        <w:t>三、过渡期管理及时间安排</w:t>
      </w:r>
    </w:p>
    <w:p w:rsidR="00681D20" w:rsidRDefault="00555CFA">
      <w:pPr>
        <w:wordWrap w:val="0"/>
        <w:spacing w:line="600" w:lineRule="exact"/>
        <w:ind w:firstLineChars="200" w:firstLine="632"/>
        <w:rPr>
          <w:szCs w:val="32"/>
        </w:rPr>
      </w:pPr>
      <w:r>
        <w:rPr>
          <w:rFonts w:ascii="方正仿宋_GBK" w:hAnsi="方正仿宋_GBK" w:cs="方正仿宋_GBK" w:hint="eastAsia"/>
          <w:szCs w:val="32"/>
        </w:rPr>
        <w:t>自文件印发之</w:t>
      </w:r>
      <w:r>
        <w:rPr>
          <w:szCs w:val="32"/>
        </w:rPr>
        <w:t>日起至</w:t>
      </w:r>
      <w:r>
        <w:rPr>
          <w:szCs w:val="32"/>
        </w:rPr>
        <w:t>2024</w:t>
      </w:r>
      <w:r>
        <w:rPr>
          <w:szCs w:val="32"/>
        </w:rPr>
        <w:t>年</w:t>
      </w:r>
      <w:r>
        <w:rPr>
          <w:szCs w:val="32"/>
        </w:rPr>
        <w:t>4</w:t>
      </w:r>
      <w:r>
        <w:rPr>
          <w:szCs w:val="32"/>
        </w:rPr>
        <w:t>月</w:t>
      </w:r>
      <w:r>
        <w:rPr>
          <w:szCs w:val="32"/>
        </w:rPr>
        <w:t>1</w:t>
      </w:r>
      <w:r>
        <w:rPr>
          <w:szCs w:val="32"/>
        </w:rPr>
        <w:t>日，为落实新版检规和检测规则过渡期。</w:t>
      </w:r>
    </w:p>
    <w:p w:rsidR="00681D20" w:rsidRDefault="00555CFA">
      <w:pPr>
        <w:spacing w:line="600" w:lineRule="exact"/>
        <w:ind w:firstLineChars="200" w:firstLine="632"/>
        <w:rPr>
          <w:rFonts w:ascii="方正楷体_GBK" w:eastAsia="方正楷体_GBK" w:hAnsi="方正楷体_GBK" w:cs="方正楷体_GBK"/>
          <w:szCs w:val="32"/>
        </w:rPr>
      </w:pPr>
      <w:r>
        <w:rPr>
          <w:rFonts w:eastAsia="方正楷体_GBK"/>
          <w:szCs w:val="32"/>
        </w:rPr>
        <w:t>（一）监督检验。</w:t>
      </w:r>
      <w:r>
        <w:rPr>
          <w:szCs w:val="32"/>
        </w:rPr>
        <w:t>电梯施工单位自愿申请按照新版检规</w:t>
      </w:r>
      <w:r>
        <w:rPr>
          <w:szCs w:val="32"/>
        </w:rPr>
        <w:t>或原《电梯监督检验和定期检验规则》（</w:t>
      </w:r>
      <w:r>
        <w:rPr>
          <w:szCs w:val="32"/>
        </w:rPr>
        <w:t>TSG T7001</w:t>
      </w:r>
      <w:r>
        <w:rPr>
          <w:szCs w:val="32"/>
        </w:rPr>
        <w:t>～</w:t>
      </w:r>
      <w:r>
        <w:rPr>
          <w:szCs w:val="32"/>
        </w:rPr>
        <w:t>TSG T7006</w:t>
      </w:r>
      <w:r>
        <w:rPr>
          <w:szCs w:val="32"/>
        </w:rPr>
        <w:t>，</w:t>
      </w:r>
      <w:r>
        <w:rPr>
          <w:rFonts w:ascii="方正仿宋_GBK" w:hAnsi="方正仿宋_GBK" w:cs="方正仿宋_GBK" w:hint="eastAsia"/>
          <w:szCs w:val="32"/>
        </w:rPr>
        <w:t>以下简称“旧版检规”）进行监督检验，承担监督检验的检验机构根据施工单位的申请进行监督检验。</w:t>
      </w:r>
    </w:p>
    <w:p w:rsidR="00681D20" w:rsidRDefault="00555CFA">
      <w:pPr>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（二）定期检验和自行检测工作安排。</w:t>
      </w:r>
      <w:r>
        <w:rPr>
          <w:bCs/>
          <w:szCs w:val="32"/>
        </w:rPr>
        <w:t>准备阶段（</w:t>
      </w:r>
      <w:r>
        <w:rPr>
          <w:bCs/>
          <w:szCs w:val="32"/>
        </w:rPr>
        <w:t>2023</w:t>
      </w:r>
      <w:r>
        <w:rPr>
          <w:bCs/>
          <w:szCs w:val="32"/>
        </w:rPr>
        <w:t>年</w:t>
      </w:r>
      <w:r>
        <w:rPr>
          <w:bCs/>
          <w:szCs w:val="32"/>
        </w:rPr>
        <w:t>6</w:t>
      </w:r>
      <w:r>
        <w:rPr>
          <w:rFonts w:hint="eastAsia"/>
          <w:bCs/>
          <w:szCs w:val="32"/>
        </w:rPr>
        <w:t>—</w:t>
      </w:r>
      <w:r>
        <w:rPr>
          <w:bCs/>
          <w:szCs w:val="32"/>
        </w:rPr>
        <w:t>8</w:t>
      </w:r>
      <w:r>
        <w:rPr>
          <w:bCs/>
          <w:szCs w:val="32"/>
        </w:rPr>
        <w:t>月）。</w:t>
      </w:r>
      <w:r>
        <w:rPr>
          <w:szCs w:val="32"/>
        </w:rPr>
        <w:t>在全市范围内开展贯彻落实新版检规和检测规则学习宣贯活动，向电梯使用单位传导落实主体责任理念，完善重庆市特种设备信息化系统平台功能。</w:t>
      </w:r>
      <w:r>
        <w:rPr>
          <w:bCs/>
          <w:szCs w:val="32"/>
        </w:rPr>
        <w:t>推进阶段（</w:t>
      </w:r>
      <w:r>
        <w:rPr>
          <w:bCs/>
          <w:szCs w:val="32"/>
        </w:rPr>
        <w:t>2023</w:t>
      </w:r>
      <w:r>
        <w:rPr>
          <w:bCs/>
          <w:szCs w:val="32"/>
        </w:rPr>
        <w:t>年</w:t>
      </w:r>
      <w:r>
        <w:rPr>
          <w:bCs/>
          <w:szCs w:val="32"/>
        </w:rPr>
        <w:t>9</w:t>
      </w:r>
      <w:r>
        <w:rPr>
          <w:rFonts w:hint="eastAsia"/>
          <w:bCs/>
          <w:szCs w:val="32"/>
        </w:rPr>
        <w:t>—</w:t>
      </w:r>
      <w:r>
        <w:rPr>
          <w:bCs/>
          <w:szCs w:val="32"/>
        </w:rPr>
        <w:t>12</w:t>
      </w:r>
      <w:r>
        <w:rPr>
          <w:bCs/>
          <w:szCs w:val="32"/>
        </w:rPr>
        <w:t>月）。</w:t>
      </w:r>
      <w:r>
        <w:rPr>
          <w:szCs w:val="32"/>
        </w:rPr>
        <w:t>采用分段分批的方式逐步实施，未实施的地区依据旧版检规、</w:t>
      </w:r>
      <w:r>
        <w:rPr>
          <w:szCs w:val="32"/>
        </w:rPr>
        <w:t>56</w:t>
      </w:r>
      <w:r>
        <w:rPr>
          <w:szCs w:val="32"/>
        </w:rPr>
        <w:t>号文及市局相关配套文件实行检验检测。</w:t>
      </w:r>
      <w:r>
        <w:rPr>
          <w:szCs w:val="32"/>
        </w:rPr>
        <w:t>9</w:t>
      </w:r>
      <w:r>
        <w:rPr>
          <w:szCs w:val="32"/>
        </w:rPr>
        <w:t>月起，在涪陵区、南川区、綦江区、大足区全域，按照新版检规和检测规则的要求启动</w:t>
      </w:r>
      <w:r>
        <w:rPr>
          <w:szCs w:val="32"/>
        </w:rPr>
        <w:lastRenderedPageBreak/>
        <w:t>电梯检验、自行检测分离工作，同步优化、改进重庆市特种设备信息化系统。</w:t>
      </w:r>
      <w:r>
        <w:rPr>
          <w:szCs w:val="32"/>
        </w:rPr>
        <w:t>10</w:t>
      </w:r>
      <w:r>
        <w:rPr>
          <w:szCs w:val="32"/>
        </w:rPr>
        <w:t>月起，在黔江区、石柱县、秀山县、酉阳县、彭水县、万盛经开区、重庆高新区、重庆经开区、两江新区全域（轨道交通站点除外），按照新版检规和检测规则的要求启动电梯检验、自行检测分离工作。</w:t>
      </w:r>
      <w:r>
        <w:rPr>
          <w:szCs w:val="32"/>
        </w:rPr>
        <w:t>12</w:t>
      </w:r>
      <w:r>
        <w:rPr>
          <w:szCs w:val="32"/>
        </w:rPr>
        <w:t>月起，在万州区、长寿</w:t>
      </w:r>
      <w:r>
        <w:rPr>
          <w:rFonts w:ascii="方正仿宋_GBK" w:hAnsi="方正仿宋_GBK" w:cs="方正仿宋_GBK" w:hint="eastAsia"/>
          <w:szCs w:val="32"/>
        </w:rPr>
        <w:t>区、江津区、合川区、永川区、璧山区、铜梁区、潼南区、荣昌区、开州区</w:t>
      </w:r>
      <w:r>
        <w:rPr>
          <w:rFonts w:ascii="方正仿宋_GBK" w:hAnsi="方正仿宋_GBK" w:cs="方正仿宋_GBK" w:hint="eastAsia"/>
          <w:szCs w:val="32"/>
        </w:rPr>
        <w:t>、梁平区、武隆区、城口县、丰都县、垫江县、忠县、云阳县、奉节县、巫山县、巫溪县全域（轨道交通站点除外），按照新版检规和检测规则的要求启</w:t>
      </w:r>
      <w:r>
        <w:rPr>
          <w:bCs/>
          <w:szCs w:val="32"/>
        </w:rPr>
        <w:t>动电梯检验、自行检测分离工作，大面积推进电梯检验检测分离工作。常态化阶段（</w:t>
      </w:r>
      <w:r>
        <w:rPr>
          <w:bCs/>
          <w:szCs w:val="32"/>
        </w:rPr>
        <w:t>2024</w:t>
      </w:r>
      <w:r>
        <w:rPr>
          <w:bCs/>
          <w:szCs w:val="32"/>
        </w:rPr>
        <w:t>年</w:t>
      </w:r>
      <w:r>
        <w:rPr>
          <w:bCs/>
          <w:szCs w:val="32"/>
        </w:rPr>
        <w:t>1</w:t>
      </w:r>
      <w:r>
        <w:rPr>
          <w:rFonts w:hint="eastAsia"/>
          <w:bCs/>
          <w:szCs w:val="32"/>
        </w:rPr>
        <w:t>—</w:t>
      </w:r>
      <w:r>
        <w:rPr>
          <w:bCs/>
          <w:szCs w:val="32"/>
        </w:rPr>
        <w:t>3</w:t>
      </w:r>
      <w:r>
        <w:rPr>
          <w:bCs/>
          <w:szCs w:val="32"/>
        </w:rPr>
        <w:t>月）。在渝中区、大渡口区、江北区、</w:t>
      </w:r>
      <w:r>
        <w:rPr>
          <w:rFonts w:ascii="方正仿宋_GBK" w:hAnsi="方正仿宋_GBK" w:cs="方正仿宋_GBK" w:hint="eastAsia"/>
          <w:szCs w:val="32"/>
        </w:rPr>
        <w:t>沙坪坝区、九龙坡区、南岸区、北碚区、渝北区、巴南区和全市轨道交通站点全域，按照新版检规和检测规则的要求启动电梯检验、自行检测分离工作，全市贯彻落实检验和检测规则工作进入常态化。</w:t>
      </w:r>
    </w:p>
    <w:p w:rsidR="00681D20" w:rsidRDefault="00555CFA">
      <w:pPr>
        <w:wordWrap w:val="0"/>
        <w:spacing w:line="600" w:lineRule="exact"/>
        <w:ind w:firstLineChars="200" w:firstLine="632"/>
        <w:rPr>
          <w:bCs/>
          <w:szCs w:val="32"/>
        </w:rPr>
      </w:pPr>
      <w:r>
        <w:rPr>
          <w:rFonts w:ascii="方正楷体_GBK" w:eastAsia="方正楷体_GBK" w:hAnsi="方正楷体_GBK" w:cs="方正楷体_GBK" w:hint="eastAsia"/>
          <w:szCs w:val="32"/>
        </w:rPr>
        <w:t>（三）特殊情况处理。</w:t>
      </w:r>
      <w:r>
        <w:rPr>
          <w:bCs/>
          <w:szCs w:val="32"/>
        </w:rPr>
        <w:t>在</w:t>
      </w:r>
      <w:r>
        <w:rPr>
          <w:bCs/>
          <w:szCs w:val="32"/>
        </w:rPr>
        <w:t>2023</w:t>
      </w:r>
      <w:r>
        <w:rPr>
          <w:bCs/>
          <w:szCs w:val="32"/>
        </w:rPr>
        <w:t>年</w:t>
      </w:r>
      <w:r>
        <w:rPr>
          <w:bCs/>
          <w:szCs w:val="32"/>
        </w:rPr>
        <w:t>4</w:t>
      </w:r>
      <w:r>
        <w:rPr>
          <w:bCs/>
          <w:szCs w:val="32"/>
        </w:rPr>
        <w:t>月</w:t>
      </w:r>
      <w:r>
        <w:rPr>
          <w:bCs/>
          <w:szCs w:val="32"/>
        </w:rPr>
        <w:t>2</w:t>
      </w:r>
      <w:r>
        <w:rPr>
          <w:bCs/>
          <w:szCs w:val="32"/>
        </w:rPr>
        <w:t>日之前已签订供货合同，或者已通过公开招</w:t>
      </w:r>
      <w:r>
        <w:rPr>
          <w:bCs/>
          <w:szCs w:val="32"/>
        </w:rPr>
        <w:t>投标确定中标，需要在过渡期满后实施安装监督检验的电梯，应当在</w:t>
      </w:r>
      <w:r>
        <w:rPr>
          <w:bCs/>
          <w:szCs w:val="32"/>
        </w:rPr>
        <w:t>2023</w:t>
      </w:r>
      <w:r>
        <w:rPr>
          <w:bCs/>
          <w:szCs w:val="32"/>
        </w:rPr>
        <w:t>年</w:t>
      </w:r>
      <w:r>
        <w:rPr>
          <w:bCs/>
          <w:szCs w:val="32"/>
        </w:rPr>
        <w:t>7</w:t>
      </w:r>
      <w:r>
        <w:rPr>
          <w:bCs/>
          <w:szCs w:val="32"/>
        </w:rPr>
        <w:t>月</w:t>
      </w:r>
      <w:r>
        <w:rPr>
          <w:bCs/>
          <w:szCs w:val="32"/>
        </w:rPr>
        <w:t>15</w:t>
      </w:r>
      <w:r>
        <w:rPr>
          <w:bCs/>
          <w:szCs w:val="32"/>
        </w:rPr>
        <w:t>日前，由电梯制造单位或者委托的安装单位填写《过渡期满后监督检验项目告知书》（见附件</w:t>
      </w:r>
      <w:r>
        <w:rPr>
          <w:bCs/>
          <w:szCs w:val="32"/>
        </w:rPr>
        <w:t>1</w:t>
      </w:r>
      <w:r>
        <w:rPr>
          <w:bCs/>
          <w:szCs w:val="32"/>
        </w:rPr>
        <w:t>），凭供货合同（中标证明）向项目所在区县市场监管</w:t>
      </w:r>
      <w:r>
        <w:rPr>
          <w:bCs/>
          <w:szCs w:val="32"/>
        </w:rPr>
        <w:lastRenderedPageBreak/>
        <w:t>部门进行书面告知，此类电梯进行安装监督检验时，要将《过渡期满后监督检验项目告知书》复印件随同监检资料一并交监督检验机构；新版检规附件</w:t>
      </w:r>
      <w:r>
        <w:rPr>
          <w:bCs/>
          <w:szCs w:val="32"/>
        </w:rPr>
        <w:t>A1.2.2.7</w:t>
      </w:r>
      <w:r>
        <w:rPr>
          <w:bCs/>
          <w:szCs w:val="32"/>
        </w:rPr>
        <w:t>、</w:t>
      </w:r>
      <w:r>
        <w:rPr>
          <w:bCs/>
          <w:szCs w:val="32"/>
        </w:rPr>
        <w:t>A1.3.3</w:t>
      </w:r>
      <w:r>
        <w:rPr>
          <w:bCs/>
          <w:szCs w:val="32"/>
        </w:rPr>
        <w:t>，可以按照旧版检规的要求进行检验，新版检规附件</w:t>
      </w:r>
      <w:r>
        <w:rPr>
          <w:bCs/>
          <w:szCs w:val="32"/>
        </w:rPr>
        <w:t>A1.2.4.3(1)</w:t>
      </w:r>
      <w:r>
        <w:rPr>
          <w:bCs/>
          <w:szCs w:val="32"/>
        </w:rPr>
        <w:t>、</w:t>
      </w:r>
      <w:r>
        <w:rPr>
          <w:bCs/>
          <w:szCs w:val="32"/>
        </w:rPr>
        <w:t>A1.3.12.1</w:t>
      </w:r>
      <w:r>
        <w:rPr>
          <w:bCs/>
          <w:szCs w:val="32"/>
        </w:rPr>
        <w:t>、</w:t>
      </w:r>
      <w:r>
        <w:rPr>
          <w:bCs/>
          <w:szCs w:val="32"/>
        </w:rPr>
        <w:t>A1.3.12.3</w:t>
      </w:r>
      <w:r>
        <w:rPr>
          <w:bCs/>
          <w:szCs w:val="32"/>
        </w:rPr>
        <w:t>，可以不检验；其后的定期检验、自</w:t>
      </w:r>
      <w:r>
        <w:rPr>
          <w:bCs/>
          <w:szCs w:val="32"/>
        </w:rPr>
        <w:t>行检测的相应项目也按照相应要求进行。</w:t>
      </w:r>
    </w:p>
    <w:p w:rsidR="00681D20" w:rsidRDefault="00555CFA">
      <w:pPr>
        <w:spacing w:line="600" w:lineRule="exact"/>
        <w:ind w:firstLineChars="200" w:firstLine="632"/>
        <w:jc w:val="left"/>
        <w:rPr>
          <w:rFonts w:ascii="方正黑体_GBK" w:eastAsia="方正黑体_GBK" w:hAnsi="方正黑体_GBK"/>
          <w:szCs w:val="32"/>
        </w:rPr>
      </w:pPr>
      <w:r>
        <w:rPr>
          <w:rFonts w:ascii="方正黑体_GBK" w:eastAsia="方正黑体_GBK" w:hAnsi="方正黑体_GBK" w:hint="eastAsia"/>
          <w:szCs w:val="32"/>
        </w:rPr>
        <w:t>四、强化主体责任落实</w:t>
      </w:r>
    </w:p>
    <w:p w:rsidR="00681D20" w:rsidRDefault="00555CFA">
      <w:pPr>
        <w:spacing w:line="600" w:lineRule="exact"/>
        <w:ind w:firstLineChars="200" w:firstLine="632"/>
        <w:rPr>
          <w:rFonts w:ascii="方正仿宋_GBK" w:hAnsi="方正仿宋_GBK" w:cs="方正仿宋_GBK"/>
          <w:color w:val="FF0000"/>
          <w:szCs w:val="32"/>
        </w:rPr>
      </w:pPr>
      <w:r>
        <w:rPr>
          <w:rFonts w:ascii="方正仿宋_GBK" w:hAnsi="方正仿宋_GBK" w:cs="方正仿宋_GBK" w:hint="eastAsia"/>
          <w:szCs w:val="32"/>
        </w:rPr>
        <w:t>电梯自行检测涉及相关单位、人员应当依据法律法规和安全技术规范，落实各自责任，强化安全管理，确保电梯自行检测质量。</w:t>
      </w:r>
      <w:r>
        <w:rPr>
          <w:rFonts w:ascii="方正楷体_GBK" w:eastAsia="方正楷体_GBK" w:hAnsi="方正楷体_GBK" w:cs="方正楷体_GBK" w:hint="eastAsia"/>
          <w:szCs w:val="32"/>
        </w:rPr>
        <w:t>使用单位：</w:t>
      </w:r>
      <w:r>
        <w:rPr>
          <w:rFonts w:ascii="方正仿宋_GBK" w:hAnsi="方正仿宋_GBK" w:cs="方正仿宋_GBK" w:hint="eastAsia"/>
          <w:szCs w:val="32"/>
        </w:rPr>
        <w:t>具备条件的电梯使用单位依法对达到检测年份的电梯组织开展自行检测活动，履行安全管理义务，承担安全主体责任</w:t>
      </w:r>
      <w:r>
        <w:rPr>
          <w:rFonts w:ascii="方正仿宋_GBK" w:hAnsi="方正仿宋_GBK" w:cs="方正仿宋_GBK" w:hint="eastAsia"/>
          <w:szCs w:val="32"/>
        </w:rPr>
        <w:t>;</w:t>
      </w:r>
      <w:r>
        <w:rPr>
          <w:rFonts w:ascii="方正仿宋_GBK" w:hAnsi="方正仿宋_GBK" w:cs="方正仿宋_GBK" w:hint="eastAsia"/>
          <w:szCs w:val="32"/>
        </w:rPr>
        <w:t>不具备条件的应当委托向其提供维护保养服务、且具备条件的单位，或者第三方检验、检测机构实施。对未</w:t>
      </w:r>
      <w:r>
        <w:rPr>
          <w:rFonts w:ascii="方正仿宋_GBK" w:hAnsi="方正仿宋_GBK" w:cs="方正仿宋_GBK" w:hint="eastAsia"/>
          <w:szCs w:val="32"/>
        </w:rPr>
        <w:t>按</w:t>
      </w:r>
      <w:r>
        <w:rPr>
          <w:rFonts w:ascii="方正仿宋_GBK" w:hAnsi="方正仿宋_GBK" w:cs="方正仿宋_GBK" w:hint="eastAsia"/>
          <w:szCs w:val="32"/>
        </w:rPr>
        <w:t>时开展检测的电梯实施飘红管理，由属地市场监管部门下达监察指令，依法</w:t>
      </w:r>
      <w:r>
        <w:rPr>
          <w:rFonts w:ascii="方正仿宋_GBK" w:hAnsi="方正仿宋_GBK" w:cs="方正仿宋_GBK" w:hint="eastAsia"/>
          <w:szCs w:val="32"/>
        </w:rPr>
        <w:t>进行</w:t>
      </w:r>
      <w:r>
        <w:rPr>
          <w:rFonts w:ascii="方正仿宋_GBK" w:hAnsi="方正仿宋_GBK" w:cs="方正仿宋_GBK" w:hint="eastAsia"/>
          <w:szCs w:val="32"/>
        </w:rPr>
        <w:t>处理。</w:t>
      </w:r>
      <w:r>
        <w:rPr>
          <w:rFonts w:ascii="方正楷体_GBK" w:eastAsia="方正楷体_GBK" w:hAnsi="方正楷体_GBK" w:cs="方正楷体_GBK" w:hint="eastAsia"/>
          <w:szCs w:val="32"/>
        </w:rPr>
        <w:t>维护保养单位：</w:t>
      </w:r>
      <w:r>
        <w:rPr>
          <w:rFonts w:ascii="方正仿宋_GBK" w:hAnsi="方正仿宋_GBK" w:cs="方正仿宋_GBK" w:hint="eastAsia"/>
          <w:szCs w:val="32"/>
        </w:rPr>
        <w:t>在具备条件情况下，受使用单位委托，对本单</w:t>
      </w:r>
      <w:r>
        <w:rPr>
          <w:rFonts w:ascii="方正仿宋_GBK" w:hAnsi="方正仿宋_GBK" w:cs="方正仿宋_GBK" w:hint="eastAsia"/>
          <w:szCs w:val="32"/>
        </w:rPr>
        <w:t>位维护保养的电梯实施自行检测，落实检测单位质量安全主体责任和法定义务。对</w:t>
      </w:r>
      <w:r>
        <w:rPr>
          <w:rFonts w:ascii="方正仿宋_GBK" w:hAnsi="方正仿宋_GBK" w:cs="方正仿宋_GBK" w:hint="eastAsia"/>
          <w:szCs w:val="32"/>
        </w:rPr>
        <w:t>电梯检测中发现严重事故隐患，应当立即告知电梯使用单位停止使用电梯，消除安全隐患；并向属地市场监管部门报告，由市场监管部门依法依规处理。</w:t>
      </w:r>
      <w:r>
        <w:rPr>
          <w:rFonts w:ascii="方正楷体_GBK" w:eastAsia="方正楷体_GBK" w:hAnsi="方正楷体_GBK" w:cs="方正楷体_GBK" w:hint="eastAsia"/>
          <w:szCs w:val="32"/>
        </w:rPr>
        <w:t>检验、检测机</w:t>
      </w:r>
      <w:r>
        <w:rPr>
          <w:rFonts w:ascii="方正楷体_GBK" w:eastAsia="方正楷体_GBK" w:hAnsi="方正楷体_GBK" w:cs="方正楷体_GBK" w:hint="eastAsia"/>
          <w:szCs w:val="32"/>
        </w:rPr>
        <w:lastRenderedPageBreak/>
        <w:t>构：</w:t>
      </w:r>
      <w:r>
        <w:rPr>
          <w:rFonts w:ascii="方正仿宋_GBK" w:hAnsi="方正仿宋_GBK" w:cs="方正仿宋_GBK" w:hint="eastAsia"/>
          <w:szCs w:val="32"/>
        </w:rPr>
        <w:t>受使用单位委托应当依法提供检测服务，并在规定的时间内组织实施，不得拖延推诿。</w:t>
      </w:r>
      <w:r>
        <w:rPr>
          <w:rFonts w:ascii="方正仿宋_GBK" w:hAnsi="方正仿宋_GBK" w:cs="方正仿宋_GBK" w:hint="eastAsia"/>
          <w:szCs w:val="32"/>
        </w:rPr>
        <w:t>检测中发现存在严重事故隐患，应立即告知电梯使用单位停止使用电梯</w:t>
      </w:r>
      <w:r>
        <w:rPr>
          <w:rFonts w:ascii="方正仿宋_GBK" w:hAnsi="方正仿宋_GBK" w:cs="方正仿宋_GBK" w:hint="eastAsia"/>
          <w:szCs w:val="32"/>
        </w:rPr>
        <w:t>，消除安全隐患；并向市场监管部门报告，由市场监管部门依法依规处理。开展电梯自行检测的单位，对出具的检测报告，检测结果和鉴定结论负责。</w:t>
      </w:r>
    </w:p>
    <w:p w:rsidR="00681D20" w:rsidRDefault="00555CFA">
      <w:pPr>
        <w:spacing w:line="600" w:lineRule="exact"/>
        <w:ind w:firstLineChars="200" w:firstLine="632"/>
        <w:rPr>
          <w:rFonts w:ascii="方正黑体_GBK" w:eastAsia="方正黑体_GBK" w:hAnsi="方正黑体_GBK"/>
          <w:szCs w:val="32"/>
        </w:rPr>
      </w:pPr>
      <w:r>
        <w:rPr>
          <w:rFonts w:ascii="方正黑体_GBK" w:eastAsia="方正黑体_GBK" w:hAnsi="方正黑体_GBK" w:hint="eastAsia"/>
          <w:szCs w:val="32"/>
        </w:rPr>
        <w:t>五、工作要求</w:t>
      </w:r>
    </w:p>
    <w:p w:rsidR="00681D20" w:rsidRDefault="00555CFA">
      <w:pPr>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（一）高度重视抓好贯彻落实。</w:t>
      </w:r>
      <w:r>
        <w:rPr>
          <w:rFonts w:ascii="方正仿宋_GBK" w:hAnsi="方正仿宋_GBK" w:cs="方正仿宋_GBK" w:hint="eastAsia"/>
          <w:szCs w:val="32"/>
        </w:rPr>
        <w:t>电梯检验检测改革是打破电梯传统检验检测方式的重要举措，是一项全新的工作，各单位要高度重视，认真学习领会“新版检规”和“检测规则”要求，把握时间节点，积极参与进来。各单位要要吃透文件要求，结合实际制定方案，推动电梯改革平稳有序开展。</w:t>
      </w:r>
    </w:p>
    <w:p w:rsidR="00681D20" w:rsidRDefault="00555CFA">
      <w:pPr>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（二）严格按要求开展检验检测。</w:t>
      </w:r>
      <w:r>
        <w:rPr>
          <w:rFonts w:ascii="方正仿宋_GBK" w:hAnsi="方正仿宋_GBK" w:cs="方正仿宋_GBK" w:hint="eastAsia"/>
          <w:szCs w:val="32"/>
        </w:rPr>
        <w:t>电梯检验检测机构以及电梯维保、使用单位要进一步明晰和落实“新版检规”和“检测规则”要求，及时制修订检验检测作业文件，建立检验检测工作质量检查考核制度，</w:t>
      </w:r>
      <w:r>
        <w:rPr>
          <w:rFonts w:cs="方正仿宋_GBK" w:hint="eastAsia"/>
          <w:color w:val="000000"/>
          <w:szCs w:val="32"/>
        </w:rPr>
        <w:t>切实提高检验检测工作质量，不得有漏项或误判等情形发生，</w:t>
      </w:r>
      <w:r>
        <w:rPr>
          <w:rFonts w:ascii="方正仿宋_GBK" w:hAnsi="方正仿宋_GBK" w:cs="方正仿宋_GBK" w:hint="eastAsia"/>
          <w:szCs w:val="32"/>
        </w:rPr>
        <w:t>杜绝出现违法违规行</w:t>
      </w:r>
      <w:r>
        <w:rPr>
          <w:rFonts w:ascii="方正仿宋_GBK" w:hAnsi="方正仿宋_GBK" w:cs="方正仿宋_GBK" w:hint="eastAsia"/>
          <w:szCs w:val="32"/>
        </w:rPr>
        <w:t>为，坚决守牢电梯安全底线。在开展检验检测工作的同时，要及时加强与监管部门的沟通联系，及时反馈遇到的问题和困难，共同推动电梯改革顺利开展。</w:t>
      </w:r>
    </w:p>
    <w:p w:rsidR="00681D20" w:rsidRDefault="00555CFA">
      <w:pPr>
        <w:spacing w:line="600" w:lineRule="exact"/>
        <w:ind w:firstLineChars="200" w:firstLine="632"/>
        <w:rPr>
          <w:rFonts w:cs="方正仿宋_GBK"/>
          <w:color w:val="000000"/>
          <w:szCs w:val="32"/>
        </w:rPr>
      </w:pPr>
      <w:r>
        <w:rPr>
          <w:rFonts w:ascii="方正楷体_GBK" w:eastAsia="方正楷体_GBK" w:hAnsi="方正楷体_GBK" w:cs="方正楷体_GBK" w:hint="eastAsia"/>
          <w:szCs w:val="32"/>
        </w:rPr>
        <w:t>（三）强化检验检测监督管理。</w:t>
      </w:r>
      <w:r>
        <w:rPr>
          <w:rFonts w:ascii="方正仿宋_GBK" w:hAnsi="方正仿宋_GBK" w:cs="方正仿宋_GBK" w:hint="eastAsia"/>
          <w:szCs w:val="32"/>
        </w:rPr>
        <w:t>市、区县市场监管部门要高</w:t>
      </w:r>
      <w:r>
        <w:rPr>
          <w:rFonts w:ascii="方正仿宋_GBK" w:hAnsi="方正仿宋_GBK" w:cs="方正仿宋_GBK" w:hint="eastAsia"/>
          <w:szCs w:val="32"/>
        </w:rPr>
        <w:lastRenderedPageBreak/>
        <w:t>度关注电梯改革情况，在过渡期内，主要以帮助指导、解决问题为主，有序推进改革落地。一年过渡期结束后，每年要以交叉互检、委托第三方机构等方式组织开展电梯检验检测情况专项监督抽查，并对抽查情况进行公示。重庆市特种设备安全管理协会、电梯产业商会应当加强行业自律，开展推进行业诚信体系建设的检查，对存在违规的机构予以风险警示。在工作</w:t>
      </w:r>
      <w:r>
        <w:rPr>
          <w:rFonts w:ascii="方正仿宋_GBK" w:hAnsi="方正仿宋_GBK" w:cs="方正仿宋_GBK" w:hint="eastAsia"/>
          <w:szCs w:val="32"/>
        </w:rPr>
        <w:t>开展期间，</w:t>
      </w:r>
      <w:r>
        <w:rPr>
          <w:rFonts w:cs="方正仿宋_GBK" w:hint="eastAsia"/>
          <w:color w:val="000000"/>
          <w:szCs w:val="32"/>
        </w:rPr>
        <w:t>要不断总结改革经验，发现存在问题，提高工作效能，压紧压实电梯使用单位主体责任。</w:t>
      </w:r>
    </w:p>
    <w:p w:rsidR="00681D20" w:rsidRDefault="00555CFA">
      <w:pPr>
        <w:spacing w:line="600" w:lineRule="exact"/>
        <w:ind w:firstLineChars="200" w:firstLine="632"/>
        <w:rPr>
          <w:rFonts w:ascii="方正仿宋_GBK" w:hAnsi="方正仿宋_GBK" w:cs="方正仿宋_GBK"/>
          <w:szCs w:val="32"/>
        </w:rPr>
      </w:pPr>
      <w:r>
        <w:rPr>
          <w:rFonts w:ascii="方正楷体_GBK" w:eastAsia="方正楷体_GBK" w:hAnsi="方正楷体_GBK" w:cs="方正楷体_GBK" w:hint="eastAsia"/>
          <w:szCs w:val="32"/>
        </w:rPr>
        <w:t>（四）强化信用管理与执法</w:t>
      </w:r>
      <w:r>
        <w:rPr>
          <w:rFonts w:ascii="方正楷体_GBK" w:eastAsia="方正楷体_GBK" w:hAnsi="方正楷体_GBK" w:cs="方正楷体_GBK" w:hint="eastAsia"/>
          <w:szCs w:val="32"/>
        </w:rPr>
        <w:t>检</w:t>
      </w:r>
      <w:r>
        <w:rPr>
          <w:rFonts w:ascii="方正楷体_GBK" w:eastAsia="方正楷体_GBK" w:hAnsi="方正楷体_GBK" w:cs="方正楷体_GBK" w:hint="eastAsia"/>
          <w:szCs w:val="32"/>
        </w:rPr>
        <w:t>查。</w:t>
      </w:r>
      <w:r>
        <w:rPr>
          <w:rFonts w:ascii="方正仿宋_GBK" w:hAnsi="方正仿宋_GBK" w:cs="方正仿宋_GBK" w:hint="eastAsia"/>
          <w:szCs w:val="32"/>
        </w:rPr>
        <w:t>在渝开展电梯检测的电梯检验、检测机构和电梯使用或维保单位，因检测质量原因发生安全责任事故，严重危害人民群众生命安全</w:t>
      </w:r>
      <w:r>
        <w:rPr>
          <w:rFonts w:ascii="方正仿宋_GBK" w:hAnsi="方正仿宋_GBK" w:cs="方正仿宋_GBK" w:hint="eastAsia"/>
          <w:szCs w:val="32"/>
        </w:rPr>
        <w:t>的</w:t>
      </w:r>
      <w:r>
        <w:rPr>
          <w:rFonts w:ascii="方正仿宋_GBK" w:hAnsi="方正仿宋_GBK" w:cs="方正仿宋_GBK" w:hint="eastAsia"/>
          <w:szCs w:val="32"/>
        </w:rPr>
        <w:t>，由市市场监督管理局</w:t>
      </w:r>
      <w:r>
        <w:rPr>
          <w:rFonts w:ascii="方正仿宋_GBK" w:hAnsi="方正仿宋_GBK" w:cs="方正仿宋_GBK" w:hint="eastAsia"/>
          <w:szCs w:val="32"/>
        </w:rPr>
        <w:t>依法实施处罚；并根</w:t>
      </w:r>
      <w:r>
        <w:rPr>
          <w:rFonts w:ascii="方正仿宋_GBK" w:hAnsi="方正仿宋_GBK" w:cs="方正仿宋_GBK" w:hint="eastAsia"/>
          <w:szCs w:val="32"/>
        </w:rPr>
        <w:t>据《市场监督管理严重违法失信名单管理办法》（国家市场监督管理总局令第</w:t>
      </w:r>
      <w:r>
        <w:rPr>
          <w:szCs w:val="32"/>
        </w:rPr>
        <w:t>44</w:t>
      </w:r>
      <w:r>
        <w:rPr>
          <w:rFonts w:ascii="方正仿宋_GBK" w:hAnsi="方正仿宋_GBK" w:cs="方正仿宋_GBK" w:hint="eastAsia"/>
          <w:szCs w:val="32"/>
        </w:rPr>
        <w:t>号）</w:t>
      </w:r>
      <w:r>
        <w:rPr>
          <w:rFonts w:ascii="方正仿宋_GBK" w:hAnsi="方正仿宋_GBK" w:cs="方正仿宋_GBK" w:hint="eastAsia"/>
          <w:szCs w:val="32"/>
        </w:rPr>
        <w:t>第二条之规定</w:t>
      </w:r>
      <w:r>
        <w:rPr>
          <w:rFonts w:ascii="方正仿宋_GBK" w:hAnsi="方正仿宋_GBK" w:cs="方正仿宋_GBK" w:hint="eastAsia"/>
          <w:szCs w:val="32"/>
        </w:rPr>
        <w:t>，列入严重违法失信名单，通过国家企业信用信息公示系统公示。对存在</w:t>
      </w:r>
      <w:r>
        <w:rPr>
          <w:rFonts w:ascii="方正仿宋_GBK" w:hAnsi="方正仿宋_GBK" w:cs="方正仿宋_GBK" w:hint="eastAsia"/>
          <w:szCs w:val="32"/>
        </w:rPr>
        <w:t>出具虚假检测报告、受到投诉举报经查证属实等</w:t>
      </w:r>
      <w:r>
        <w:rPr>
          <w:rFonts w:ascii="方正仿宋_GBK" w:hAnsi="方正仿宋_GBK" w:cs="方正仿宋_GBK" w:hint="eastAsia"/>
          <w:szCs w:val="32"/>
        </w:rPr>
        <w:t>违法违规</w:t>
      </w:r>
      <w:r>
        <w:rPr>
          <w:rFonts w:ascii="方正仿宋_GBK" w:hAnsi="方正仿宋_GBK" w:cs="方正仿宋_GBK" w:hint="eastAsia"/>
          <w:szCs w:val="32"/>
        </w:rPr>
        <w:t>问题，由市市场监督管理局</w:t>
      </w:r>
      <w:r>
        <w:rPr>
          <w:rFonts w:ascii="方正仿宋_GBK" w:hAnsi="方正仿宋_GBK" w:cs="方正仿宋_GBK" w:hint="eastAsia"/>
          <w:szCs w:val="32"/>
        </w:rPr>
        <w:t>依法进行</w:t>
      </w:r>
      <w:r>
        <w:rPr>
          <w:rFonts w:ascii="方正仿宋_GBK" w:hAnsi="方正仿宋_GBK" w:cs="方正仿宋_GBK" w:hint="eastAsia"/>
          <w:szCs w:val="32"/>
        </w:rPr>
        <w:t>处理</w:t>
      </w:r>
      <w:r>
        <w:rPr>
          <w:rFonts w:ascii="方正仿宋_GBK" w:hAnsi="方正仿宋_GBK" w:cs="方正仿宋_GBK" w:hint="eastAsia"/>
          <w:szCs w:val="32"/>
        </w:rPr>
        <w:t>。</w:t>
      </w:r>
      <w:r>
        <w:rPr>
          <w:rFonts w:ascii="方正仿宋_GBK" w:hAnsi="方正仿宋_GBK" w:cs="方正仿宋_GBK" w:hint="eastAsia"/>
          <w:szCs w:val="32"/>
        </w:rPr>
        <w:t xml:space="preserve">   </w:t>
      </w:r>
    </w:p>
    <w:p w:rsidR="00681D20" w:rsidRDefault="00555CFA">
      <w:pPr>
        <w:spacing w:line="600" w:lineRule="exact"/>
        <w:ind w:firstLineChars="200" w:firstLine="632"/>
        <w:rPr>
          <w:rFonts w:cs="方正仿宋_GBK"/>
          <w:color w:val="000000"/>
          <w:szCs w:val="32"/>
        </w:rPr>
      </w:pPr>
      <w:r>
        <w:rPr>
          <w:rFonts w:ascii="方正楷体_GBK" w:eastAsia="方正楷体_GBK" w:hAnsi="方正楷体_GBK" w:cs="方正楷体_GBK" w:hint="eastAsia"/>
          <w:szCs w:val="32"/>
        </w:rPr>
        <w:t>（五）加强宣传引导营造良好氛围。</w:t>
      </w:r>
      <w:r>
        <w:rPr>
          <w:rFonts w:cs="方正仿宋_GBK" w:hint="eastAsia"/>
          <w:color w:val="000000"/>
          <w:szCs w:val="32"/>
        </w:rPr>
        <w:t>各区县局要加强对电梯使用单位的宣传发动，让其知晓电检验检测改革目的和要求，明确需要注意和把握的具体事项，及时解疑答惑，确保人人知晓，</w:t>
      </w:r>
      <w:r>
        <w:rPr>
          <w:rFonts w:cs="方正仿宋_GBK" w:hint="eastAsia"/>
          <w:color w:val="000000"/>
          <w:szCs w:val="32"/>
        </w:rPr>
        <w:lastRenderedPageBreak/>
        <w:t>不断提升使用单位电梯安全管理水平。在改革过程中一旦发现重大问题，要及时报告市局。市局要按照总局工作要求，动态调整措施，确保改革稳妥推进，取得实效。</w:t>
      </w:r>
    </w:p>
    <w:p w:rsidR="00681D20" w:rsidRDefault="00681D20">
      <w:pPr>
        <w:pStyle w:val="a3"/>
        <w:spacing w:line="600" w:lineRule="exact"/>
        <w:ind w:firstLine="632"/>
      </w:pPr>
    </w:p>
    <w:p w:rsidR="00681D20" w:rsidRDefault="00555CFA">
      <w:pPr>
        <w:spacing w:line="600" w:lineRule="exact"/>
        <w:ind w:firstLineChars="200" w:firstLine="632"/>
        <w:rPr>
          <w:rFonts w:cs="方正仿宋_GBK"/>
          <w:color w:val="000000"/>
          <w:szCs w:val="32"/>
        </w:rPr>
      </w:pPr>
      <w:r>
        <w:rPr>
          <w:rFonts w:cs="方正仿宋_GBK" w:hint="eastAsia"/>
          <w:color w:val="000000"/>
          <w:szCs w:val="32"/>
        </w:rPr>
        <w:t>附件：过渡期满后监督检验项目告知书</w:t>
      </w:r>
    </w:p>
    <w:p w:rsidR="00681D20" w:rsidRDefault="00555CFA">
      <w:pPr>
        <w:spacing w:line="600" w:lineRule="exact"/>
        <w:ind w:firstLineChars="200" w:firstLine="632"/>
        <w:jc w:val="center"/>
        <w:rPr>
          <w:rFonts w:ascii="方正仿宋_GBK" w:hAnsi="方正仿宋_GBK" w:cs="方正仿宋_GBK"/>
          <w:szCs w:val="32"/>
        </w:rPr>
      </w:pPr>
      <w:r>
        <w:rPr>
          <w:rFonts w:ascii="方正仿宋_GBK" w:hAnsi="方正仿宋_GBK" w:cs="方正仿宋_GBK" w:hint="eastAsia"/>
          <w:szCs w:val="32"/>
        </w:rPr>
        <w:t xml:space="preserve">                    </w:t>
      </w:r>
    </w:p>
    <w:p w:rsidR="00681D20" w:rsidRDefault="00555CFA">
      <w:pPr>
        <w:spacing w:line="600" w:lineRule="exact"/>
        <w:ind w:firstLineChars="200" w:firstLine="632"/>
        <w:jc w:val="center"/>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重庆市市场监督管理局</w:t>
      </w:r>
    </w:p>
    <w:p w:rsidR="00681D20" w:rsidRDefault="00555CFA">
      <w:pPr>
        <w:spacing w:line="600" w:lineRule="exact"/>
        <w:ind w:firstLineChars="200" w:firstLine="632"/>
        <w:jc w:val="center"/>
        <w:rPr>
          <w:rFonts w:ascii="方正仿宋_GBK" w:hAnsi="方正仿宋_GBK" w:cs="方正仿宋_GBK"/>
        </w:rPr>
      </w:pPr>
      <w:r>
        <w:rPr>
          <w:rFonts w:ascii="方正仿宋_GBK" w:hAnsi="方正仿宋_GBK" w:cs="方正仿宋_GBK" w:hint="eastAsia"/>
        </w:rPr>
        <w:t xml:space="preserve">                    </w:t>
      </w:r>
      <w:r>
        <w:rPr>
          <w:rFonts w:ascii="方正仿宋_GBK" w:hAnsi="方正仿宋_GBK" w:cs="方正仿宋_GBK" w:hint="eastAsia"/>
        </w:rPr>
        <w:t xml:space="preserve">     </w:t>
      </w:r>
      <w:r>
        <w:t>2023</w:t>
      </w:r>
      <w:r>
        <w:t>年</w:t>
      </w:r>
      <w:r>
        <w:t>6</w:t>
      </w:r>
      <w:r>
        <w:t>月</w:t>
      </w:r>
      <w:r>
        <w:rPr>
          <w:rFonts w:hint="eastAsia"/>
        </w:rPr>
        <w:t>29</w:t>
      </w:r>
      <w:r>
        <w:t>日</w:t>
      </w:r>
    </w:p>
    <w:p w:rsidR="00681D20" w:rsidRDefault="00555CFA">
      <w:pPr>
        <w:spacing w:line="600" w:lineRule="exact"/>
        <w:ind w:firstLineChars="200" w:firstLine="632"/>
        <w:rPr>
          <w:rFonts w:ascii="方正黑体_GBK" w:eastAsia="方正黑体_GBK" w:hAnsi="方正黑体_GBK"/>
        </w:rPr>
      </w:pPr>
      <w:r>
        <w:rPr>
          <w:rFonts w:hint="eastAsia"/>
        </w:rPr>
        <w:t>（此件公开发布）</w:t>
      </w:r>
      <w:r>
        <w:rPr>
          <w:rFonts w:ascii="方正黑体_GBK" w:eastAsia="方正黑体_GBK" w:hAnsi="方正黑体_GBK" w:hint="eastAsia"/>
        </w:rPr>
        <w:t xml:space="preserve">   </w:t>
      </w:r>
    </w:p>
    <w:p w:rsidR="00681D20" w:rsidRDefault="00555CFA">
      <w:pPr>
        <w:pStyle w:val="a3"/>
        <w:ind w:firstLineChars="0" w:firstLine="0"/>
        <w:rPr>
          <w:rFonts w:ascii="方正黑体_GBK" w:eastAsia="方正黑体_GBK" w:hAnsi="方正黑体_GBK"/>
          <w:color w:val="000000"/>
        </w:rPr>
      </w:pPr>
      <w:r>
        <w:br w:type="page"/>
      </w:r>
      <w:r>
        <w:rPr>
          <w:rFonts w:ascii="方正黑体_GBK" w:eastAsia="方正黑体_GBK" w:hAnsi="方正黑体_GBK" w:hint="eastAsia"/>
          <w:color w:val="000000"/>
        </w:rPr>
        <w:lastRenderedPageBreak/>
        <w:t>附件</w:t>
      </w:r>
    </w:p>
    <w:p w:rsidR="00681D20" w:rsidRDefault="00681D20" w:rsidP="00B16606">
      <w:pPr>
        <w:pStyle w:val="a3"/>
        <w:spacing w:line="560" w:lineRule="exact"/>
        <w:ind w:firstLine="632"/>
      </w:pPr>
    </w:p>
    <w:p w:rsidR="00681D20" w:rsidRDefault="00555CFA">
      <w:pPr>
        <w:snapToGrid w:val="0"/>
        <w:spacing w:line="720" w:lineRule="atLeast"/>
        <w:jc w:val="center"/>
        <w:rPr>
          <w:color w:val="000000"/>
          <w:sz w:val="44"/>
          <w:szCs w:val="44"/>
        </w:rPr>
      </w:pPr>
      <w:r>
        <w:rPr>
          <w:rFonts w:ascii="方正小标宋_GBK" w:eastAsia="方正小标宋_GBK" w:hAnsi="方正小标宋_GBK" w:cs="方正小标宋_GBK" w:hint="eastAsia"/>
          <w:color w:val="000000"/>
          <w:sz w:val="44"/>
          <w:szCs w:val="44"/>
        </w:rPr>
        <w:t>过渡期满后监督检验项目告知书</w:t>
      </w:r>
    </w:p>
    <w:p w:rsidR="00681D20" w:rsidRDefault="00555CFA">
      <w:pPr>
        <w:spacing w:line="560" w:lineRule="exact"/>
        <w:jc w:val="center"/>
        <w:rPr>
          <w:color w:val="000000"/>
          <w:sz w:val="28"/>
          <w:szCs w:val="28"/>
        </w:rPr>
      </w:pPr>
      <w:r>
        <w:rPr>
          <w:rFonts w:hint="eastAsia"/>
          <w:color w:val="000000"/>
          <w:sz w:val="28"/>
          <w:szCs w:val="28"/>
        </w:rPr>
        <w:t>填报单位：</w:t>
      </w:r>
      <w:r>
        <w:rPr>
          <w:rFonts w:hint="eastAsia"/>
          <w:color w:val="000000"/>
          <w:sz w:val="28"/>
          <w:szCs w:val="28"/>
          <w:u w:val="single"/>
        </w:rPr>
        <w:t xml:space="preserve">     </w:t>
      </w:r>
      <w:r>
        <w:rPr>
          <w:rFonts w:hint="eastAsia"/>
          <w:color w:val="000000"/>
          <w:sz w:val="24"/>
          <w:szCs w:val="24"/>
          <w:u w:val="single"/>
        </w:rPr>
        <w:t>（盖章）</w:t>
      </w:r>
      <w:r>
        <w:rPr>
          <w:rFonts w:hint="eastAsia"/>
          <w:color w:val="000000"/>
          <w:sz w:val="28"/>
          <w:szCs w:val="28"/>
          <w:u w:val="single"/>
        </w:rPr>
        <w:t xml:space="preserve">         </w:t>
      </w:r>
      <w:r>
        <w:rPr>
          <w:rFonts w:hint="eastAsia"/>
          <w:color w:val="000000"/>
          <w:sz w:val="28"/>
          <w:szCs w:val="28"/>
        </w:rPr>
        <w:t xml:space="preserve">  </w:t>
      </w:r>
      <w:r>
        <w:rPr>
          <w:rFonts w:hint="eastAsia"/>
          <w:color w:val="000000"/>
          <w:sz w:val="28"/>
          <w:szCs w:val="28"/>
        </w:rPr>
        <w:t>填报日期：</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tbl>
      <w:tblPr>
        <w:tblW w:w="88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07"/>
        <w:gridCol w:w="1395"/>
        <w:gridCol w:w="425"/>
        <w:gridCol w:w="826"/>
        <w:gridCol w:w="1476"/>
        <w:gridCol w:w="120"/>
        <w:gridCol w:w="2046"/>
      </w:tblGrid>
      <w:tr w:rsidR="00681D20">
        <w:trPr>
          <w:trHeight w:hRule="exact" w:val="454"/>
          <w:jc w:val="center"/>
        </w:trPr>
        <w:tc>
          <w:tcPr>
            <w:tcW w:w="2607"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项目名称</w:t>
            </w:r>
          </w:p>
        </w:tc>
        <w:tc>
          <w:tcPr>
            <w:tcW w:w="6288" w:type="dxa"/>
            <w:gridSpan w:val="6"/>
            <w:vAlign w:val="center"/>
          </w:tcPr>
          <w:p w:rsidR="00681D20" w:rsidRDefault="00681D20">
            <w:pPr>
              <w:spacing w:line="320" w:lineRule="exact"/>
              <w:jc w:val="center"/>
              <w:rPr>
                <w:color w:val="000000"/>
                <w:sz w:val="24"/>
                <w:szCs w:val="24"/>
              </w:rPr>
            </w:pPr>
          </w:p>
        </w:tc>
      </w:tr>
      <w:tr w:rsidR="00681D20">
        <w:trPr>
          <w:trHeight w:hRule="exact" w:val="454"/>
          <w:jc w:val="center"/>
        </w:trPr>
        <w:tc>
          <w:tcPr>
            <w:tcW w:w="2607"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合同号</w:t>
            </w:r>
            <w:r>
              <w:rPr>
                <w:color w:val="000000"/>
                <w:sz w:val="24"/>
                <w:szCs w:val="24"/>
              </w:rPr>
              <w:t>/</w:t>
            </w:r>
            <w:r>
              <w:rPr>
                <w:color w:val="000000"/>
                <w:sz w:val="24"/>
                <w:szCs w:val="24"/>
              </w:rPr>
              <w:t>中标项目号</w:t>
            </w:r>
          </w:p>
        </w:tc>
        <w:tc>
          <w:tcPr>
            <w:tcW w:w="1820" w:type="dxa"/>
            <w:gridSpan w:val="2"/>
            <w:vAlign w:val="center"/>
          </w:tcPr>
          <w:p w:rsidR="00681D20" w:rsidRDefault="00681D20">
            <w:pPr>
              <w:spacing w:line="320" w:lineRule="exact"/>
              <w:jc w:val="center"/>
              <w:rPr>
                <w:color w:val="000000"/>
                <w:sz w:val="24"/>
                <w:szCs w:val="24"/>
              </w:rPr>
            </w:pPr>
          </w:p>
        </w:tc>
        <w:tc>
          <w:tcPr>
            <w:tcW w:w="2422" w:type="dxa"/>
            <w:gridSpan w:val="3"/>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签订日期</w:t>
            </w:r>
            <w:r>
              <w:rPr>
                <w:color w:val="000000"/>
                <w:sz w:val="24"/>
                <w:szCs w:val="24"/>
              </w:rPr>
              <w:t>/</w:t>
            </w:r>
            <w:r>
              <w:rPr>
                <w:color w:val="000000"/>
                <w:sz w:val="24"/>
                <w:szCs w:val="24"/>
              </w:rPr>
              <w:t>中标日期</w:t>
            </w:r>
          </w:p>
        </w:tc>
        <w:tc>
          <w:tcPr>
            <w:tcW w:w="2046" w:type="dxa"/>
          </w:tcPr>
          <w:p w:rsidR="00681D20" w:rsidRDefault="00681D20">
            <w:pPr>
              <w:spacing w:line="320" w:lineRule="exact"/>
              <w:jc w:val="center"/>
              <w:rPr>
                <w:color w:val="000000"/>
                <w:sz w:val="24"/>
                <w:szCs w:val="24"/>
              </w:rPr>
            </w:pPr>
          </w:p>
        </w:tc>
      </w:tr>
      <w:tr w:rsidR="00681D20">
        <w:trPr>
          <w:trHeight w:hRule="exact" w:val="454"/>
          <w:jc w:val="center"/>
        </w:trPr>
        <w:tc>
          <w:tcPr>
            <w:tcW w:w="2607"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制造单位名称</w:t>
            </w:r>
          </w:p>
        </w:tc>
        <w:tc>
          <w:tcPr>
            <w:tcW w:w="1820" w:type="dxa"/>
            <w:gridSpan w:val="2"/>
            <w:vAlign w:val="center"/>
          </w:tcPr>
          <w:p w:rsidR="00681D20" w:rsidRDefault="00681D20">
            <w:pPr>
              <w:spacing w:line="320" w:lineRule="exact"/>
              <w:jc w:val="center"/>
              <w:rPr>
                <w:color w:val="000000"/>
                <w:sz w:val="24"/>
                <w:szCs w:val="24"/>
              </w:rPr>
            </w:pPr>
          </w:p>
        </w:tc>
        <w:tc>
          <w:tcPr>
            <w:tcW w:w="2422" w:type="dxa"/>
            <w:gridSpan w:val="3"/>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生产许可证编号</w:t>
            </w:r>
          </w:p>
        </w:tc>
        <w:tc>
          <w:tcPr>
            <w:tcW w:w="2046" w:type="dxa"/>
          </w:tcPr>
          <w:p w:rsidR="00681D20" w:rsidRDefault="00681D20">
            <w:pPr>
              <w:spacing w:line="320" w:lineRule="exact"/>
              <w:jc w:val="center"/>
              <w:rPr>
                <w:color w:val="000000"/>
                <w:sz w:val="24"/>
                <w:szCs w:val="24"/>
              </w:rPr>
            </w:pPr>
          </w:p>
        </w:tc>
      </w:tr>
      <w:tr w:rsidR="00681D20">
        <w:trPr>
          <w:trHeight w:hRule="exact" w:val="454"/>
          <w:jc w:val="center"/>
        </w:trPr>
        <w:tc>
          <w:tcPr>
            <w:tcW w:w="2607" w:type="dxa"/>
            <w:vAlign w:val="center"/>
          </w:tcPr>
          <w:p w:rsidR="00681D20" w:rsidRDefault="00555CFA">
            <w:pPr>
              <w:spacing w:line="320" w:lineRule="exact"/>
              <w:jc w:val="center"/>
              <w:rPr>
                <w:color w:val="000000"/>
                <w:sz w:val="24"/>
                <w:szCs w:val="24"/>
              </w:rPr>
            </w:pPr>
            <w:r>
              <w:rPr>
                <w:color w:val="000000"/>
                <w:sz w:val="24"/>
                <w:szCs w:val="24"/>
              </w:rPr>
              <w:t>安装单位名称</w:t>
            </w:r>
          </w:p>
        </w:tc>
        <w:tc>
          <w:tcPr>
            <w:tcW w:w="1820" w:type="dxa"/>
            <w:gridSpan w:val="2"/>
            <w:vAlign w:val="center"/>
          </w:tcPr>
          <w:p w:rsidR="00681D20" w:rsidRDefault="00681D20">
            <w:pPr>
              <w:spacing w:line="320" w:lineRule="exact"/>
              <w:jc w:val="center"/>
              <w:rPr>
                <w:color w:val="000000"/>
                <w:sz w:val="24"/>
                <w:szCs w:val="24"/>
              </w:rPr>
            </w:pPr>
          </w:p>
        </w:tc>
        <w:tc>
          <w:tcPr>
            <w:tcW w:w="2422" w:type="dxa"/>
            <w:gridSpan w:val="3"/>
            <w:vAlign w:val="center"/>
          </w:tcPr>
          <w:p w:rsidR="00681D20" w:rsidRDefault="00555CFA">
            <w:pPr>
              <w:spacing w:line="320" w:lineRule="exact"/>
              <w:jc w:val="center"/>
              <w:rPr>
                <w:color w:val="000000"/>
                <w:sz w:val="24"/>
                <w:szCs w:val="24"/>
              </w:rPr>
            </w:pPr>
            <w:r>
              <w:rPr>
                <w:color w:val="000000"/>
                <w:sz w:val="24"/>
                <w:szCs w:val="24"/>
              </w:rPr>
              <w:t>生产许可证编号</w:t>
            </w:r>
          </w:p>
        </w:tc>
        <w:tc>
          <w:tcPr>
            <w:tcW w:w="2046" w:type="dxa"/>
          </w:tcPr>
          <w:p w:rsidR="00681D20" w:rsidRDefault="00681D20">
            <w:pPr>
              <w:spacing w:line="320" w:lineRule="exact"/>
              <w:jc w:val="center"/>
              <w:rPr>
                <w:color w:val="000000"/>
                <w:sz w:val="24"/>
                <w:szCs w:val="24"/>
              </w:rPr>
            </w:pPr>
          </w:p>
        </w:tc>
      </w:tr>
      <w:tr w:rsidR="00681D20">
        <w:trPr>
          <w:trHeight w:hRule="exact" w:val="454"/>
          <w:jc w:val="center"/>
        </w:trPr>
        <w:tc>
          <w:tcPr>
            <w:tcW w:w="2607"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安装地点</w:t>
            </w:r>
          </w:p>
        </w:tc>
        <w:tc>
          <w:tcPr>
            <w:tcW w:w="6288" w:type="dxa"/>
            <w:gridSpan w:val="6"/>
            <w:vAlign w:val="center"/>
          </w:tcPr>
          <w:p w:rsidR="00681D20" w:rsidRDefault="00681D20">
            <w:pPr>
              <w:spacing w:line="320" w:lineRule="exact"/>
              <w:jc w:val="center"/>
              <w:rPr>
                <w:color w:val="000000"/>
                <w:sz w:val="24"/>
                <w:szCs w:val="24"/>
              </w:rPr>
            </w:pPr>
          </w:p>
        </w:tc>
      </w:tr>
      <w:tr w:rsidR="00681D20">
        <w:trPr>
          <w:trHeight w:hRule="exact" w:val="454"/>
          <w:jc w:val="center"/>
        </w:trPr>
        <w:tc>
          <w:tcPr>
            <w:tcW w:w="2607"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使用单位名称</w:t>
            </w:r>
          </w:p>
        </w:tc>
        <w:tc>
          <w:tcPr>
            <w:tcW w:w="6288" w:type="dxa"/>
            <w:gridSpan w:val="6"/>
            <w:vAlign w:val="center"/>
          </w:tcPr>
          <w:p w:rsidR="00681D20" w:rsidRDefault="00681D20">
            <w:pPr>
              <w:spacing w:line="320" w:lineRule="exact"/>
              <w:jc w:val="center"/>
              <w:rPr>
                <w:color w:val="000000"/>
                <w:sz w:val="24"/>
                <w:szCs w:val="24"/>
              </w:rPr>
            </w:pPr>
          </w:p>
        </w:tc>
      </w:tr>
      <w:tr w:rsidR="00681D20">
        <w:trPr>
          <w:trHeight w:hRule="exact" w:val="454"/>
          <w:jc w:val="center"/>
        </w:trPr>
        <w:tc>
          <w:tcPr>
            <w:tcW w:w="2607" w:type="dxa"/>
            <w:vMerge w:val="restart"/>
            <w:vAlign w:val="center"/>
          </w:tcPr>
          <w:p w:rsidR="00681D20" w:rsidRDefault="00555CFA">
            <w:pPr>
              <w:spacing w:line="320" w:lineRule="exact"/>
              <w:jc w:val="center"/>
              <w:rPr>
                <w:rFonts w:eastAsia="宋体"/>
                <w:color w:val="000000"/>
                <w:sz w:val="24"/>
                <w:szCs w:val="24"/>
              </w:rPr>
            </w:pPr>
            <w:r>
              <w:rPr>
                <w:color w:val="000000"/>
                <w:sz w:val="24"/>
                <w:szCs w:val="24"/>
              </w:rPr>
              <w:t>*</w:t>
            </w:r>
            <w:r>
              <w:rPr>
                <w:color w:val="000000"/>
                <w:sz w:val="24"/>
                <w:szCs w:val="24"/>
              </w:rPr>
              <w:t>设备型号数量</w:t>
            </w:r>
          </w:p>
        </w:tc>
        <w:tc>
          <w:tcPr>
            <w:tcW w:w="1395"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型号</w:t>
            </w:r>
            <w:r>
              <w:rPr>
                <w:color w:val="000000"/>
                <w:sz w:val="24"/>
                <w:szCs w:val="24"/>
              </w:rPr>
              <w:t>1</w:t>
            </w:r>
          </w:p>
        </w:tc>
        <w:tc>
          <w:tcPr>
            <w:tcW w:w="1251" w:type="dxa"/>
            <w:gridSpan w:val="2"/>
            <w:vAlign w:val="center"/>
          </w:tcPr>
          <w:p w:rsidR="00681D20" w:rsidRDefault="00681D20">
            <w:pPr>
              <w:spacing w:line="320" w:lineRule="exact"/>
              <w:jc w:val="center"/>
              <w:rPr>
                <w:color w:val="000000"/>
                <w:sz w:val="24"/>
                <w:szCs w:val="24"/>
              </w:rPr>
            </w:pPr>
          </w:p>
        </w:tc>
        <w:tc>
          <w:tcPr>
            <w:tcW w:w="1476"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数量</w:t>
            </w:r>
          </w:p>
        </w:tc>
        <w:tc>
          <w:tcPr>
            <w:tcW w:w="2166" w:type="dxa"/>
            <w:gridSpan w:val="2"/>
            <w:vAlign w:val="center"/>
          </w:tcPr>
          <w:p w:rsidR="00681D20" w:rsidRDefault="00681D20">
            <w:pPr>
              <w:spacing w:line="320" w:lineRule="exact"/>
              <w:rPr>
                <w:color w:val="000000"/>
                <w:sz w:val="24"/>
                <w:szCs w:val="24"/>
              </w:rPr>
            </w:pPr>
          </w:p>
        </w:tc>
      </w:tr>
      <w:tr w:rsidR="00681D20">
        <w:trPr>
          <w:trHeight w:hRule="exact" w:val="454"/>
          <w:jc w:val="center"/>
        </w:trPr>
        <w:tc>
          <w:tcPr>
            <w:tcW w:w="2607" w:type="dxa"/>
            <w:vMerge/>
            <w:vAlign w:val="center"/>
          </w:tcPr>
          <w:p w:rsidR="00681D20" w:rsidRDefault="00681D20">
            <w:pPr>
              <w:spacing w:line="320" w:lineRule="exact"/>
              <w:jc w:val="center"/>
              <w:rPr>
                <w:color w:val="000000"/>
                <w:sz w:val="24"/>
                <w:szCs w:val="24"/>
              </w:rPr>
            </w:pPr>
          </w:p>
        </w:tc>
        <w:tc>
          <w:tcPr>
            <w:tcW w:w="1395"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型号</w:t>
            </w:r>
            <w:r>
              <w:rPr>
                <w:color w:val="000000"/>
                <w:sz w:val="24"/>
                <w:szCs w:val="24"/>
              </w:rPr>
              <w:t>2</w:t>
            </w:r>
          </w:p>
        </w:tc>
        <w:tc>
          <w:tcPr>
            <w:tcW w:w="1251" w:type="dxa"/>
            <w:gridSpan w:val="2"/>
            <w:vAlign w:val="center"/>
          </w:tcPr>
          <w:p w:rsidR="00681D20" w:rsidRDefault="00681D20">
            <w:pPr>
              <w:spacing w:line="320" w:lineRule="exact"/>
              <w:jc w:val="center"/>
              <w:rPr>
                <w:color w:val="000000"/>
                <w:sz w:val="24"/>
                <w:szCs w:val="24"/>
              </w:rPr>
            </w:pPr>
          </w:p>
        </w:tc>
        <w:tc>
          <w:tcPr>
            <w:tcW w:w="1476"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数量</w:t>
            </w:r>
          </w:p>
        </w:tc>
        <w:tc>
          <w:tcPr>
            <w:tcW w:w="2166" w:type="dxa"/>
            <w:gridSpan w:val="2"/>
            <w:vAlign w:val="center"/>
          </w:tcPr>
          <w:p w:rsidR="00681D20" w:rsidRDefault="00681D20">
            <w:pPr>
              <w:spacing w:line="320" w:lineRule="exact"/>
              <w:rPr>
                <w:color w:val="000000"/>
                <w:sz w:val="24"/>
                <w:szCs w:val="24"/>
              </w:rPr>
            </w:pPr>
          </w:p>
        </w:tc>
      </w:tr>
      <w:tr w:rsidR="00681D20">
        <w:trPr>
          <w:trHeight w:hRule="exact" w:val="454"/>
          <w:jc w:val="center"/>
        </w:trPr>
        <w:tc>
          <w:tcPr>
            <w:tcW w:w="2607" w:type="dxa"/>
            <w:vMerge/>
            <w:vAlign w:val="center"/>
          </w:tcPr>
          <w:p w:rsidR="00681D20" w:rsidRDefault="00681D20">
            <w:pPr>
              <w:spacing w:line="320" w:lineRule="exact"/>
              <w:jc w:val="center"/>
              <w:rPr>
                <w:color w:val="000000"/>
                <w:sz w:val="24"/>
                <w:szCs w:val="24"/>
              </w:rPr>
            </w:pPr>
          </w:p>
        </w:tc>
        <w:tc>
          <w:tcPr>
            <w:tcW w:w="6288" w:type="dxa"/>
            <w:gridSpan w:val="6"/>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根据情况自行添加或删减</w:t>
            </w:r>
          </w:p>
        </w:tc>
      </w:tr>
      <w:tr w:rsidR="00681D20">
        <w:trPr>
          <w:trHeight w:hRule="exact" w:val="454"/>
          <w:jc w:val="center"/>
        </w:trPr>
        <w:tc>
          <w:tcPr>
            <w:tcW w:w="2607" w:type="dxa"/>
            <w:vMerge/>
            <w:vAlign w:val="center"/>
          </w:tcPr>
          <w:p w:rsidR="00681D20" w:rsidRDefault="00681D20">
            <w:pPr>
              <w:spacing w:line="320" w:lineRule="exact"/>
              <w:jc w:val="center"/>
              <w:rPr>
                <w:color w:val="000000"/>
                <w:sz w:val="24"/>
                <w:szCs w:val="24"/>
              </w:rPr>
            </w:pPr>
          </w:p>
        </w:tc>
        <w:tc>
          <w:tcPr>
            <w:tcW w:w="1395"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型号</w:t>
            </w:r>
            <w:r>
              <w:rPr>
                <w:color w:val="000000"/>
                <w:sz w:val="24"/>
                <w:szCs w:val="24"/>
              </w:rPr>
              <w:t>n</w:t>
            </w:r>
          </w:p>
        </w:tc>
        <w:tc>
          <w:tcPr>
            <w:tcW w:w="1251" w:type="dxa"/>
            <w:gridSpan w:val="2"/>
            <w:vAlign w:val="center"/>
          </w:tcPr>
          <w:p w:rsidR="00681D20" w:rsidRDefault="00681D20">
            <w:pPr>
              <w:spacing w:line="320" w:lineRule="exact"/>
              <w:jc w:val="center"/>
              <w:rPr>
                <w:color w:val="000000"/>
                <w:sz w:val="24"/>
                <w:szCs w:val="24"/>
              </w:rPr>
            </w:pPr>
          </w:p>
        </w:tc>
        <w:tc>
          <w:tcPr>
            <w:tcW w:w="1476"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数量</w:t>
            </w:r>
          </w:p>
        </w:tc>
        <w:tc>
          <w:tcPr>
            <w:tcW w:w="2166" w:type="dxa"/>
            <w:gridSpan w:val="2"/>
            <w:vAlign w:val="center"/>
          </w:tcPr>
          <w:p w:rsidR="00681D20" w:rsidRDefault="00681D20">
            <w:pPr>
              <w:spacing w:line="320" w:lineRule="exact"/>
              <w:jc w:val="center"/>
              <w:rPr>
                <w:color w:val="000000"/>
                <w:sz w:val="24"/>
                <w:szCs w:val="24"/>
              </w:rPr>
            </w:pPr>
          </w:p>
        </w:tc>
      </w:tr>
      <w:tr w:rsidR="00681D20">
        <w:trPr>
          <w:trHeight w:hRule="exact" w:val="454"/>
          <w:jc w:val="center"/>
        </w:trPr>
        <w:tc>
          <w:tcPr>
            <w:tcW w:w="2607" w:type="dxa"/>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填报单位联系人</w:t>
            </w:r>
          </w:p>
        </w:tc>
        <w:tc>
          <w:tcPr>
            <w:tcW w:w="1820" w:type="dxa"/>
            <w:gridSpan w:val="2"/>
            <w:vAlign w:val="center"/>
          </w:tcPr>
          <w:p w:rsidR="00681D20" w:rsidRDefault="00681D20">
            <w:pPr>
              <w:spacing w:line="320" w:lineRule="exact"/>
              <w:jc w:val="center"/>
              <w:rPr>
                <w:color w:val="000000"/>
                <w:sz w:val="24"/>
                <w:szCs w:val="24"/>
              </w:rPr>
            </w:pPr>
          </w:p>
        </w:tc>
        <w:tc>
          <w:tcPr>
            <w:tcW w:w="2422" w:type="dxa"/>
            <w:gridSpan w:val="3"/>
            <w:vAlign w:val="center"/>
          </w:tcPr>
          <w:p w:rsidR="00681D20" w:rsidRDefault="00555CFA">
            <w:pPr>
              <w:spacing w:line="320" w:lineRule="exact"/>
              <w:jc w:val="center"/>
              <w:rPr>
                <w:color w:val="000000"/>
                <w:sz w:val="24"/>
                <w:szCs w:val="24"/>
              </w:rPr>
            </w:pPr>
            <w:r>
              <w:rPr>
                <w:color w:val="000000"/>
                <w:sz w:val="24"/>
                <w:szCs w:val="24"/>
              </w:rPr>
              <w:t>*</w:t>
            </w:r>
            <w:r>
              <w:rPr>
                <w:color w:val="000000"/>
                <w:sz w:val="24"/>
                <w:szCs w:val="24"/>
              </w:rPr>
              <w:t>联系电话</w:t>
            </w:r>
          </w:p>
        </w:tc>
        <w:tc>
          <w:tcPr>
            <w:tcW w:w="2046" w:type="dxa"/>
          </w:tcPr>
          <w:p w:rsidR="00681D20" w:rsidRDefault="00681D20">
            <w:pPr>
              <w:spacing w:line="320" w:lineRule="exact"/>
              <w:jc w:val="center"/>
              <w:rPr>
                <w:color w:val="000000"/>
                <w:sz w:val="24"/>
                <w:szCs w:val="24"/>
              </w:rPr>
            </w:pPr>
          </w:p>
        </w:tc>
      </w:tr>
      <w:tr w:rsidR="00681D20">
        <w:trPr>
          <w:trHeight w:val="921"/>
          <w:jc w:val="center"/>
        </w:trPr>
        <w:tc>
          <w:tcPr>
            <w:tcW w:w="8895" w:type="dxa"/>
            <w:gridSpan w:val="7"/>
            <w:vAlign w:val="center"/>
          </w:tcPr>
          <w:p w:rsidR="00681D20" w:rsidRDefault="00555CFA">
            <w:pPr>
              <w:spacing w:line="400" w:lineRule="exact"/>
              <w:ind w:firstLineChars="200" w:firstLine="472"/>
              <w:rPr>
                <w:color w:val="000000"/>
                <w:sz w:val="24"/>
                <w:szCs w:val="24"/>
              </w:rPr>
            </w:pPr>
            <w:r>
              <w:rPr>
                <w:color w:val="000000"/>
                <w:sz w:val="24"/>
                <w:szCs w:val="24"/>
              </w:rPr>
              <w:t>本表所列电梯于</w:t>
            </w:r>
            <w:r>
              <w:rPr>
                <w:color w:val="000000"/>
                <w:sz w:val="24"/>
                <w:szCs w:val="24"/>
              </w:rPr>
              <w:t>2023</w:t>
            </w:r>
            <w:r>
              <w:rPr>
                <w:color w:val="000000"/>
                <w:sz w:val="24"/>
                <w:szCs w:val="24"/>
              </w:rPr>
              <w:t>年</w:t>
            </w:r>
            <w:r>
              <w:rPr>
                <w:color w:val="000000"/>
                <w:sz w:val="24"/>
                <w:szCs w:val="24"/>
              </w:rPr>
              <w:t>4</w:t>
            </w:r>
            <w:r>
              <w:rPr>
                <w:color w:val="000000"/>
                <w:sz w:val="24"/>
                <w:szCs w:val="24"/>
              </w:rPr>
              <w:t>月</w:t>
            </w:r>
            <w:r>
              <w:rPr>
                <w:color w:val="000000"/>
                <w:sz w:val="24"/>
                <w:szCs w:val="24"/>
              </w:rPr>
              <w:t>2</w:t>
            </w:r>
            <w:r>
              <w:rPr>
                <w:color w:val="000000"/>
                <w:sz w:val="24"/>
                <w:szCs w:val="24"/>
              </w:rPr>
              <w:t>日之前签订供货合同，或者已经通过公开招投标确定中标，并将在</w:t>
            </w:r>
            <w:r>
              <w:rPr>
                <w:color w:val="000000"/>
                <w:sz w:val="24"/>
                <w:szCs w:val="24"/>
              </w:rPr>
              <w:t>2024</w:t>
            </w:r>
            <w:r>
              <w:rPr>
                <w:color w:val="000000"/>
                <w:sz w:val="24"/>
                <w:szCs w:val="24"/>
              </w:rPr>
              <w:t>年</w:t>
            </w:r>
            <w:r>
              <w:rPr>
                <w:color w:val="000000"/>
                <w:sz w:val="24"/>
                <w:szCs w:val="24"/>
              </w:rPr>
              <w:t>4</w:t>
            </w:r>
            <w:r>
              <w:rPr>
                <w:color w:val="000000"/>
                <w:sz w:val="24"/>
                <w:szCs w:val="24"/>
              </w:rPr>
              <w:t>月</w:t>
            </w:r>
            <w:r>
              <w:rPr>
                <w:color w:val="000000"/>
                <w:sz w:val="24"/>
                <w:szCs w:val="24"/>
              </w:rPr>
              <w:t>2</w:t>
            </w:r>
            <w:r>
              <w:rPr>
                <w:color w:val="000000"/>
                <w:sz w:val="24"/>
                <w:szCs w:val="24"/>
              </w:rPr>
              <w:t>日之后实施安装监督检验，特此告知。</w:t>
            </w:r>
          </w:p>
        </w:tc>
      </w:tr>
      <w:tr w:rsidR="00681D20">
        <w:trPr>
          <w:trHeight w:val="1445"/>
          <w:jc w:val="center"/>
        </w:trPr>
        <w:tc>
          <w:tcPr>
            <w:tcW w:w="8895" w:type="dxa"/>
            <w:gridSpan w:val="7"/>
          </w:tcPr>
          <w:p w:rsidR="00681D20" w:rsidRDefault="00555CFA">
            <w:pPr>
              <w:spacing w:line="560" w:lineRule="exact"/>
              <w:ind w:firstLineChars="200" w:firstLine="472"/>
              <w:jc w:val="left"/>
              <w:rPr>
                <w:color w:val="000000"/>
                <w:sz w:val="24"/>
                <w:szCs w:val="24"/>
              </w:rPr>
            </w:pPr>
            <w:r>
              <w:rPr>
                <w:color w:val="000000"/>
                <w:sz w:val="24"/>
                <w:szCs w:val="24"/>
              </w:rPr>
              <w:t>项目所在地区县市场监管部门意见</w:t>
            </w:r>
          </w:p>
          <w:p w:rsidR="00681D20" w:rsidRDefault="00555CFA" w:rsidP="00B16606">
            <w:pPr>
              <w:spacing w:line="560" w:lineRule="exact"/>
              <w:ind w:firstLineChars="2200" w:firstLine="5190"/>
              <w:jc w:val="left"/>
              <w:rPr>
                <w:color w:val="000000"/>
                <w:sz w:val="24"/>
                <w:szCs w:val="24"/>
              </w:rPr>
            </w:pPr>
            <w:r>
              <w:rPr>
                <w:color w:val="000000"/>
                <w:sz w:val="24"/>
                <w:szCs w:val="24"/>
              </w:rPr>
              <w:t>（盖章）</w:t>
            </w:r>
          </w:p>
          <w:p w:rsidR="00681D20" w:rsidRDefault="00555CFA" w:rsidP="00B16606">
            <w:pPr>
              <w:spacing w:line="560" w:lineRule="exact"/>
              <w:ind w:firstLineChars="2900" w:firstLine="6841"/>
              <w:jc w:val="left"/>
              <w:rPr>
                <w:color w:val="000000"/>
                <w:sz w:val="24"/>
                <w:szCs w:val="24"/>
              </w:rPr>
            </w:pP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tc>
      </w:tr>
    </w:tbl>
    <w:p w:rsidR="00681D20" w:rsidRDefault="00555CFA">
      <w:pPr>
        <w:spacing w:line="380" w:lineRule="exact"/>
        <w:rPr>
          <w:color w:val="000000"/>
          <w:sz w:val="24"/>
          <w:szCs w:val="24"/>
        </w:rPr>
      </w:pPr>
      <w:r>
        <w:rPr>
          <w:rFonts w:ascii="方正黑体_GBK" w:eastAsia="方正黑体_GBK" w:hAnsi="方正黑体_GBK" w:hint="eastAsia"/>
          <w:color w:val="000000"/>
        </w:rPr>
        <w:t xml:space="preserve"> </w:t>
      </w:r>
      <w:r>
        <w:rPr>
          <w:rFonts w:hint="eastAsia"/>
          <w:color w:val="000000"/>
          <w:sz w:val="24"/>
          <w:szCs w:val="24"/>
        </w:rPr>
        <w:t>注：</w:t>
      </w:r>
      <w:r>
        <w:rPr>
          <w:rFonts w:hint="eastAsia"/>
          <w:color w:val="000000"/>
          <w:sz w:val="24"/>
          <w:szCs w:val="24"/>
        </w:rPr>
        <w:t>1</w:t>
      </w:r>
      <w:r>
        <w:rPr>
          <w:rFonts w:hint="eastAsia"/>
          <w:color w:val="000000"/>
          <w:sz w:val="24"/>
          <w:szCs w:val="24"/>
        </w:rPr>
        <w:t>．</w:t>
      </w:r>
      <w:r>
        <w:rPr>
          <w:rFonts w:hint="eastAsia"/>
          <w:color w:val="000000"/>
          <w:sz w:val="24"/>
          <w:szCs w:val="24"/>
        </w:rPr>
        <w:t>表中带</w:t>
      </w:r>
      <w:r>
        <w:rPr>
          <w:rFonts w:hint="eastAsia"/>
          <w:color w:val="000000"/>
          <w:sz w:val="24"/>
          <w:szCs w:val="24"/>
        </w:rPr>
        <w:t>*</w:t>
      </w:r>
      <w:r>
        <w:rPr>
          <w:rFonts w:hint="eastAsia"/>
          <w:color w:val="000000"/>
          <w:sz w:val="24"/>
          <w:szCs w:val="24"/>
        </w:rPr>
        <w:t>为必填项。</w:t>
      </w:r>
    </w:p>
    <w:p w:rsidR="00681D20" w:rsidRDefault="00555CFA">
      <w:pPr>
        <w:spacing w:line="380" w:lineRule="exact"/>
        <w:rPr>
          <w:rFonts w:ascii="方正黑体_GBK" w:eastAsia="方正黑体_GBK" w:hAnsi="方正黑体_GBK"/>
        </w:rPr>
      </w:pPr>
      <w:r>
        <w:rPr>
          <w:rFonts w:hint="eastAsia"/>
          <w:color w:val="000000"/>
          <w:sz w:val="24"/>
          <w:szCs w:val="24"/>
        </w:rPr>
        <w:t xml:space="preserve">　</w:t>
      </w:r>
      <w:r>
        <w:rPr>
          <w:rFonts w:hint="eastAsia"/>
          <w:color w:val="000000"/>
          <w:sz w:val="10"/>
          <w:szCs w:val="10"/>
        </w:rPr>
        <w:t xml:space="preserve">　　　　</w:t>
      </w:r>
      <w:r>
        <w:rPr>
          <w:rFonts w:hint="eastAsia"/>
          <w:color w:val="000000"/>
          <w:sz w:val="24"/>
          <w:szCs w:val="24"/>
        </w:rPr>
        <w:t>2</w:t>
      </w:r>
      <w:r>
        <w:rPr>
          <w:rFonts w:hint="eastAsia"/>
          <w:color w:val="000000"/>
          <w:sz w:val="24"/>
          <w:szCs w:val="24"/>
        </w:rPr>
        <w:t>．</w:t>
      </w:r>
      <w:r>
        <w:rPr>
          <w:rFonts w:hint="eastAsia"/>
          <w:color w:val="000000"/>
          <w:sz w:val="24"/>
          <w:szCs w:val="24"/>
        </w:rPr>
        <w:t>本告知书一式两份，分别由填报单位和属地市场监管部门留存。</w:t>
      </w:r>
      <w:r>
        <w:rPr>
          <w:rFonts w:ascii="方正黑体_GBK" w:eastAsia="方正黑体_GBK" w:hAnsi="方正黑体_GBK" w:hint="eastAsia"/>
        </w:rPr>
        <w:t xml:space="preserve">                               </w:t>
      </w:r>
    </w:p>
    <w:sectPr w:rsidR="00681D20">
      <w:headerReference w:type="default" r:id="rId10"/>
      <w:footerReference w:type="default" r:id="rId11"/>
      <w:pgSz w:w="11906" w:h="16838"/>
      <w:pgMar w:top="1962" w:right="1474" w:bottom="1848" w:left="1587" w:header="851" w:footer="1474" w:gutter="0"/>
      <w:pgNumType w:start="1" w:chapSep="emDash"/>
      <w:cols w:space="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FA" w:rsidRDefault="00555CFA">
      <w:r>
        <w:separator/>
      </w:r>
    </w:p>
  </w:endnote>
  <w:endnote w:type="continuationSeparator" w:id="0">
    <w:p w:rsidR="00555CFA" w:rsidRDefault="0055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20" w:rsidRDefault="00B16606">
    <w:pPr>
      <w:pStyle w:val="a6"/>
      <w:jc w:val="center"/>
      <w:rPr>
        <w:rFonts w:ascii="宋体" w:eastAsia="宋体" w:hAnsi="宋体" w:cs="宋体"/>
        <w:b/>
        <w:bCs/>
        <w:color w:val="005192"/>
        <w:sz w:val="28"/>
        <w:szCs w:val="44"/>
      </w:rPr>
    </w:pPr>
    <w:r>
      <w:rPr>
        <w:noProof/>
      </w:rPr>
      <mc:AlternateContent>
        <mc:Choice Requires="wps">
          <w:drawing>
            <wp:anchor distT="0" distB="0" distL="114300" distR="114300" simplePos="0" relativeHeight="251658240" behindDoc="0" locked="0" layoutInCell="1" allowOverlap="1">
              <wp:simplePos x="0" y="0"/>
              <wp:positionH relativeFrom="margin">
                <wp:posOffset>4946650</wp:posOffset>
              </wp:positionH>
              <wp:positionV relativeFrom="paragraph">
                <wp:posOffset>139065</wp:posOffset>
              </wp:positionV>
              <wp:extent cx="711835" cy="230505"/>
              <wp:effectExtent l="3175" t="0" r="0" b="3810"/>
              <wp:wrapNone/>
              <wp:docPr id="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1D20" w:rsidRDefault="00555CFA">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B16606">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389.5pt;margin-top:10.95pt;width:56.05pt;height:18.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" filled="f" stroked="f" strokeweight=".5pt">
              <v:textbox style="mso-fit-shape-to-text:t" inset="0,0,0,0">
                <w:txbxContent>
                  <w:p w:rsidR="00681D20" w:rsidRDefault="00555CFA">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B16606">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681D20" w:rsidRDefault="00B16606">
    <w:pPr>
      <w:pStyle w:val="a6"/>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162560</wp:posOffset>
              </wp:positionV>
              <wp:extent cx="5616575" cy="1905"/>
              <wp:effectExtent l="0" t="0" r="22225" b="361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44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" strokecolor="#005192" strokeweight="1.75pt">
              <o:lock v:ext="edit" shapetype="f"/>
            </v:line>
          </w:pict>
        </mc:Fallback>
      </mc:AlternateContent>
    </w:r>
  </w:p>
  <w:p w:rsidR="00681D20" w:rsidRDefault="00555CFA" w:rsidP="00B16606">
    <w:pPr>
      <w:pStyle w:val="a6"/>
      <w:snapToGrid/>
      <w:ind w:firstLineChars="1700" w:firstLine="4779"/>
      <w:jc w:val="both"/>
      <w:rPr>
        <w:rFonts w:ascii="等线" w:hAnsi="等线"/>
        <w:sz w:val="28"/>
        <w:szCs w:val="28"/>
      </w:rPr>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p w:rsidR="00681D20" w:rsidRDefault="00681D20">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FA" w:rsidRDefault="00555CFA">
      <w:r>
        <w:separator/>
      </w:r>
    </w:p>
  </w:footnote>
  <w:footnote w:type="continuationSeparator" w:id="0">
    <w:p w:rsidR="00555CFA" w:rsidRDefault="0055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20" w:rsidRDefault="00681D20">
    <w:pPr>
      <w:pStyle w:val="a7"/>
      <w:pBdr>
        <w:bottom w:val="none" w:sz="0" w:space="1" w:color="auto"/>
      </w:pBdr>
      <w:jc w:val="left"/>
      <w:rPr>
        <w:rFonts w:ascii="宋体" w:eastAsia="宋体" w:hAnsi="宋体" w:cs="宋体"/>
        <w:b/>
        <w:bCs/>
        <w:color w:val="005192"/>
        <w:sz w:val="32"/>
      </w:rPr>
    </w:pPr>
  </w:p>
  <w:p w:rsidR="00681D20" w:rsidRDefault="00B16606">
    <w:pPr>
      <w:pStyle w:val="a7"/>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b/>
        <w:bCs/>
        <w:noProof/>
        <w:color w:val="005192"/>
        <w:sz w:val="32"/>
      </w:rPr>
      <w:drawing>
        <wp:inline distT="0" distB="0" distL="0" distR="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4800" cy="304800"/>
                  </a:xfrm>
                  <a:prstGeom prst="rect">
                    <a:avLst/>
                  </a:prstGeom>
                </pic:spPr>
              </pic:pic>
            </a:graphicData>
          </a:graphic>
        </wp:inline>
      </w:drawing>
    </w:r>
    <w:r>
      <w:rPr>
        <w:noProof/>
        <w:color w:val="FAFAFA"/>
        <w:sz w:val="32"/>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459105</wp:posOffset>
              </wp:positionV>
              <wp:extent cx="5616575" cy="1905"/>
              <wp:effectExtent l="0" t="0" r="22225" b="36195"/>
              <wp:wrapNone/>
              <wp:docPr id="3"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15pt" to="4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" strokecolor="#005192" strokeweight="1.75pt">
              <o:lock v:ext="edit" shapetype="f"/>
            </v:line>
          </w:pict>
        </mc:Fallback>
      </mc:AlternateContent>
    </w:r>
    <w:r w:rsidR="00555CFA">
      <w:rPr>
        <w:rFonts w:ascii="宋体" w:eastAsia="宋体" w:hAnsi="宋体" w:cs="宋体" w:hint="eastAsia"/>
        <w:b/>
        <w:bCs/>
        <w:color w:val="005192"/>
        <w:sz w:val="32"/>
      </w:rPr>
      <w:t>重庆市市场监督管理局行政</w:t>
    </w:r>
    <w:r w:rsidR="00555CFA">
      <w:rPr>
        <w:rFonts w:ascii="宋体" w:eastAsia="宋体" w:hAnsi="宋体" w:cs="宋体" w:hint="eastAsia"/>
        <w:b/>
        <w:bCs/>
        <w:color w:val="005192"/>
        <w:sz w:val="32"/>
        <w:szCs w:val="32"/>
        <w:lang w:eastAsia="zh-Hans"/>
      </w:rPr>
      <w:t>规范性文件</w:t>
    </w:r>
  </w:p>
  <w:p w:rsidR="00681D20" w:rsidRDefault="00681D20">
    <w:pPr>
      <w:pStyle w:val="a7"/>
      <w:pBdr>
        <w:bottom w:val="none" w:sz="0" w:space="1" w:color="auto"/>
      </w:pBdr>
      <w:jc w:val="left"/>
      <w:rPr>
        <w:rFonts w:ascii="宋体" w:eastAsia="宋体" w:hAnsi="宋体" w:cs="宋体"/>
        <w:b/>
        <w:bCs/>
        <w:color w:val="005192"/>
        <w:sz w:val="32"/>
        <w:szCs w:val="32"/>
        <w:lang w:eastAsia="zh-Hans"/>
      </w:rPr>
    </w:pPr>
  </w:p>
  <w:p w:rsidR="00681D20" w:rsidRDefault="00681D20">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5"/>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9DBFDF2E"/>
    <w:rsid w:val="BBBE0D14"/>
    <w:rsid w:val="D76708C2"/>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55CF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1D20"/>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16606"/>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0A7454AA"/>
    <w:rsid w:val="134029BA"/>
    <w:rsid w:val="20264985"/>
    <w:rsid w:val="235B1C57"/>
    <w:rsid w:val="246C46F6"/>
    <w:rsid w:val="27854499"/>
    <w:rsid w:val="2C4959EC"/>
    <w:rsid w:val="2D0E53A7"/>
    <w:rsid w:val="320E1020"/>
    <w:rsid w:val="33546CB8"/>
    <w:rsid w:val="33E8485B"/>
    <w:rsid w:val="34DC344C"/>
    <w:rsid w:val="3D0D5C68"/>
    <w:rsid w:val="3E350F4E"/>
    <w:rsid w:val="42132C13"/>
    <w:rsid w:val="439B65C8"/>
    <w:rsid w:val="4B161173"/>
    <w:rsid w:val="4FA21C30"/>
    <w:rsid w:val="50407AE2"/>
    <w:rsid w:val="53087649"/>
    <w:rsid w:val="589770AE"/>
    <w:rsid w:val="5ECF2B98"/>
    <w:rsid w:val="61C112D7"/>
    <w:rsid w:val="656869E7"/>
    <w:rsid w:val="7D3341AD"/>
    <w:rsid w:val="7E7535BB"/>
    <w:rsid w:val="7FFAB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Normal Indent"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200"/>
    </w:pPr>
  </w:style>
  <w:style w:type="paragraph" w:styleId="a4">
    <w:name w:val="Date"/>
    <w:basedOn w:val="a"/>
    <w:next w:val="a"/>
    <w:qFormat/>
    <w:rPr>
      <w:rFonts w:ascii="仿宋_GB2312" w:eastAsia="仿宋_GB2312"/>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character" w:styleId="a8">
    <w:name w:val="page number"/>
    <w:basedOn w:val="a0"/>
    <w:qFormat/>
    <w:rPr>
      <w:rFonts w:cs="Times New Roman"/>
    </w:rPr>
  </w:style>
  <w:style w:type="character" w:styleId="a9">
    <w:name w:val="Hyperlink"/>
    <w:qFormat/>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Normal Indent"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200"/>
    </w:pPr>
  </w:style>
  <w:style w:type="paragraph" w:styleId="a4">
    <w:name w:val="Date"/>
    <w:basedOn w:val="a"/>
    <w:next w:val="a"/>
    <w:qFormat/>
    <w:rPr>
      <w:rFonts w:ascii="仿宋_GB2312" w:eastAsia="仿宋_GB2312"/>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character" w:styleId="a8">
    <w:name w:val="page number"/>
    <w:basedOn w:val="a0"/>
    <w:qFormat/>
    <w:rPr>
      <w:rFonts w:cs="Times New Roman"/>
    </w:rPr>
  </w:style>
  <w:style w:type="character" w:styleId="a9">
    <w:name w:val="Hyperlink"/>
    <w:qFormat/>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qtzsb.org/&#65289;&#65292;&#19978;&#20256;&#35777;&#29031;&#36164;&#26009;&#65292;&#24405;&#20837;&#30456;&#20851;&#20449;&#24687;&#65292;&#24182;&#22312;&#20449;&#24687;&#21270;&#24179;&#21488;&#36827;&#34892;&#20844;&#31034;&#122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19.141.208.170/casei/&#12290;&#24066;&#22330;&#30417;&#31649;&#37096;&#38376;&#26816;&#26597;&#26816;&#27979;&#20154;&#21592;&#20174;&#19994;&#36164;&#26684;&#21644;&#32844;&#19994;&#24773;&#20917;&#65292;&#21487;&#30331;&#24405;&#32593;&#22336;&#20026;:http:/219.141.208.170/casei/regjster/personPubicAction!getProvin.cePersnInfiForm.action&#65292;&#36827;&#34892;&#26597;&#35810;&#122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720</Words>
  <Characters>4104</Characters>
  <Application>Microsoft Office Word</Application>
  <DocSecurity>0</DocSecurity>
  <Lines>34</Lines>
  <Paragraphs>9</Paragraphs>
  <ScaleCrop>false</ScaleCrop>
  <Company>Lenovo (Beijing) Limited</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2</cp:revision>
  <cp:lastPrinted>2019-08-29T02:07:00Z</cp:lastPrinted>
  <dcterms:created xsi:type="dcterms:W3CDTF">2023-07-18T09:07:00Z</dcterms:created>
  <dcterms:modified xsi:type="dcterms:W3CDTF">2023-07-18T09:07:00Z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