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BC28">
      <w:pPr>
        <w:spacing w:line="540" w:lineRule="exact"/>
        <w:rPr>
          <w:sz w:val="44"/>
          <w:szCs w:val="44"/>
        </w:rPr>
      </w:pPr>
    </w:p>
    <w:p w14:paraId="1BC89463">
      <w:pPr>
        <w:spacing w:line="540" w:lineRule="exact"/>
        <w:jc w:val="center"/>
        <w:rPr>
          <w:rFonts w:eastAsia="方正小标宋_GBK"/>
          <w:spacing w:val="-8"/>
          <w:sz w:val="44"/>
          <w:szCs w:val="44"/>
        </w:rPr>
      </w:pPr>
      <w:bookmarkStart w:id="0" w:name="zw"/>
      <w:bookmarkEnd w:id="0"/>
    </w:p>
    <w:p w14:paraId="35107B3F">
      <w:pPr>
        <w:spacing w:line="540" w:lineRule="exact"/>
        <w:jc w:val="center"/>
        <w:rPr>
          <w:rFonts w:eastAsia="方正小标宋_GBK"/>
          <w:spacing w:val="-8"/>
          <w:sz w:val="44"/>
          <w:szCs w:val="44"/>
        </w:rPr>
      </w:pPr>
      <w:r>
        <w:rPr>
          <w:rFonts w:eastAsia="方正小标宋_GBK"/>
          <w:spacing w:val="-8"/>
          <w:sz w:val="44"/>
          <w:szCs w:val="44"/>
        </w:rPr>
        <w:t>重庆市</w:t>
      </w:r>
      <w:r>
        <w:rPr>
          <w:rFonts w:hint="eastAsia" w:eastAsia="方正小标宋_GBK"/>
          <w:spacing w:val="-8"/>
          <w:sz w:val="44"/>
          <w:szCs w:val="44"/>
        </w:rPr>
        <w:t>市场监督管理</w:t>
      </w:r>
      <w:r>
        <w:rPr>
          <w:rFonts w:eastAsia="方正小标宋_GBK"/>
          <w:spacing w:val="-8"/>
          <w:sz w:val="44"/>
          <w:szCs w:val="44"/>
        </w:rPr>
        <w:t>局</w:t>
      </w:r>
    </w:p>
    <w:p w14:paraId="766D6DCC">
      <w:pPr>
        <w:spacing w:line="540" w:lineRule="exact"/>
        <w:jc w:val="center"/>
        <w:rPr>
          <w:rFonts w:eastAsia="方正小标宋_GBK"/>
          <w:spacing w:val="-8"/>
          <w:sz w:val="44"/>
          <w:szCs w:val="44"/>
        </w:rPr>
      </w:pPr>
      <w:r>
        <w:rPr>
          <w:rFonts w:hint="eastAsia" w:eastAsia="方正小标宋_GBK"/>
          <w:spacing w:val="-8"/>
          <w:sz w:val="44"/>
          <w:szCs w:val="44"/>
        </w:rPr>
        <w:t>关于进一步放宽市场</w:t>
      </w:r>
      <w:r>
        <w:rPr>
          <w:rFonts w:eastAsia="方正小标宋_GBK"/>
          <w:spacing w:val="-8"/>
          <w:sz w:val="44"/>
          <w:szCs w:val="44"/>
        </w:rPr>
        <w:t>主体住所（经营场所）</w:t>
      </w:r>
    </w:p>
    <w:p w14:paraId="3CFA9C42">
      <w:pPr>
        <w:spacing w:line="540" w:lineRule="exact"/>
        <w:jc w:val="center"/>
        <w:rPr>
          <w:rFonts w:eastAsia="方正小标宋_GBK"/>
          <w:spacing w:val="-8"/>
          <w:sz w:val="44"/>
          <w:szCs w:val="44"/>
        </w:rPr>
      </w:pPr>
      <w:r>
        <w:rPr>
          <w:rFonts w:eastAsia="方正小标宋_GBK"/>
          <w:spacing w:val="-8"/>
          <w:sz w:val="44"/>
          <w:szCs w:val="44"/>
        </w:rPr>
        <w:t>登记</w:t>
      </w:r>
      <w:r>
        <w:rPr>
          <w:rFonts w:hint="eastAsia" w:eastAsia="方正小标宋_GBK"/>
          <w:spacing w:val="-8"/>
          <w:sz w:val="44"/>
          <w:szCs w:val="44"/>
        </w:rPr>
        <w:t>条件的实施意见</w:t>
      </w:r>
    </w:p>
    <w:p w14:paraId="346DC6DE">
      <w:pPr>
        <w:spacing w:line="600" w:lineRule="exact"/>
        <w:jc w:val="center"/>
        <w:rPr>
          <w:szCs w:val="32"/>
        </w:rPr>
      </w:pPr>
      <w:r>
        <w:rPr>
          <w:rFonts w:hint="eastAsia"/>
          <w:szCs w:val="32"/>
        </w:rPr>
        <w:t>渝市监发</w:t>
      </w:r>
      <w:r>
        <w:rPr>
          <w:rFonts w:hint="eastAsia"/>
          <w:color w:val="000000"/>
          <w:szCs w:val="32"/>
        </w:rPr>
        <w:t>〔</w:t>
      </w:r>
      <w:r>
        <w:rPr>
          <w:color w:val="000000"/>
          <w:szCs w:val="32"/>
        </w:rPr>
        <w:t>2021</w:t>
      </w:r>
      <w:r>
        <w:rPr>
          <w:rFonts w:hint="eastAsia"/>
          <w:color w:val="000000"/>
          <w:szCs w:val="32"/>
        </w:rPr>
        <w:t>〕</w:t>
      </w:r>
      <w:r>
        <w:rPr>
          <w:color w:val="000000"/>
          <w:szCs w:val="32"/>
        </w:rPr>
        <w:t>53</w:t>
      </w:r>
      <w:r>
        <w:rPr>
          <w:rFonts w:hint="eastAsia"/>
          <w:color w:val="000000"/>
          <w:szCs w:val="32"/>
        </w:rPr>
        <w:t>号</w:t>
      </w:r>
    </w:p>
    <w:p w14:paraId="0B945615">
      <w:pPr>
        <w:spacing w:line="600" w:lineRule="exact"/>
        <w:rPr>
          <w:szCs w:val="32"/>
        </w:rPr>
      </w:pPr>
    </w:p>
    <w:p w14:paraId="680308DC">
      <w:pPr>
        <w:spacing w:line="600" w:lineRule="exact"/>
        <w:rPr>
          <w:szCs w:val="32"/>
        </w:rPr>
      </w:pPr>
      <w:r>
        <w:rPr>
          <w:szCs w:val="32"/>
        </w:rPr>
        <w:t>各区县（自治县）市场监管局，两江新区、高新区、重庆经开区、万盛经开区市场监管局：</w:t>
      </w:r>
    </w:p>
    <w:p w14:paraId="652DD594">
      <w:pPr>
        <w:spacing w:line="600" w:lineRule="exact"/>
        <w:ind w:firstLine="632" w:firstLineChars="200"/>
        <w:rPr>
          <w:spacing w:val="-6"/>
          <w:szCs w:val="32"/>
        </w:rPr>
      </w:pPr>
      <w:r>
        <w:rPr>
          <w:szCs w:val="32"/>
        </w:rPr>
        <w:t>为持续优化营商环境，降低市场主体准入制度性成本，充分释放场地资源，根据《重庆市优化营商环境条例》、《重庆市人民政府办公厅关于印发重庆市全面推行证明事项告知承诺制实施方案的通知》（渝府办发〔2021</w:t>
      </w:r>
      <w:r>
        <w:rPr>
          <w:rFonts w:hint="eastAsia"/>
          <w:szCs w:val="32"/>
        </w:rPr>
        <w:t>〕</w:t>
      </w:r>
      <w:r>
        <w:rPr>
          <w:szCs w:val="32"/>
        </w:rPr>
        <w:t>9号）精神，现就进一步放宽市场</w:t>
      </w:r>
      <w:r>
        <w:rPr>
          <w:spacing w:val="-6"/>
          <w:szCs w:val="32"/>
        </w:rPr>
        <w:t>主体住所（经营场所）（以下简称</w:t>
      </w:r>
      <w:r>
        <w:rPr>
          <w:rFonts w:hint="eastAsia"/>
          <w:spacing w:val="-6"/>
          <w:szCs w:val="32"/>
        </w:rPr>
        <w:t>“</w:t>
      </w:r>
      <w:r>
        <w:rPr>
          <w:spacing w:val="-6"/>
          <w:szCs w:val="32"/>
        </w:rPr>
        <w:t>住所</w:t>
      </w:r>
      <w:r>
        <w:rPr>
          <w:rFonts w:hint="eastAsia"/>
          <w:spacing w:val="-6"/>
          <w:szCs w:val="32"/>
        </w:rPr>
        <w:t>”</w:t>
      </w:r>
      <w:r>
        <w:rPr>
          <w:spacing w:val="-6"/>
          <w:szCs w:val="32"/>
        </w:rPr>
        <w:t>）登记条件提出如下意见。</w:t>
      </w:r>
    </w:p>
    <w:p w14:paraId="22F2E9FC">
      <w:pPr>
        <w:numPr>
          <w:ilvl w:val="0"/>
          <w:numId w:val="1"/>
        </w:numPr>
        <w:spacing w:line="600" w:lineRule="exact"/>
        <w:ind w:firstLine="632" w:firstLineChars="200"/>
        <w:rPr>
          <w:rFonts w:eastAsia="方正黑体_GBK"/>
          <w:szCs w:val="32"/>
        </w:rPr>
      </w:pPr>
      <w:r>
        <w:rPr>
          <w:rFonts w:eastAsia="方正黑体_GBK"/>
          <w:szCs w:val="32"/>
        </w:rPr>
        <w:t>总体要求</w:t>
      </w:r>
    </w:p>
    <w:p w14:paraId="3B029AA6">
      <w:pPr>
        <w:spacing w:line="600" w:lineRule="exact"/>
        <w:ind w:firstLine="632" w:firstLineChars="200"/>
        <w:rPr>
          <w:rFonts w:eastAsia="方正楷体_GBK"/>
          <w:szCs w:val="32"/>
        </w:rPr>
      </w:pPr>
      <w:r>
        <w:rPr>
          <w:rFonts w:eastAsia="方正楷体_GBK"/>
          <w:szCs w:val="32"/>
        </w:rPr>
        <w:t>（一）指导思想</w:t>
      </w:r>
    </w:p>
    <w:p w14:paraId="105FCB46">
      <w:pPr>
        <w:spacing w:line="600" w:lineRule="exact"/>
        <w:ind w:firstLine="632" w:firstLineChars="200"/>
        <w:rPr>
          <w:szCs w:val="32"/>
        </w:rPr>
      </w:pPr>
      <w:r>
        <w:rPr>
          <w:szCs w:val="32"/>
        </w:rPr>
        <w:t>以习近平新时代中国特色社会主义思想为指导，全面贯彻党的十九大和十九届二中、三中、四中、五中全会精神，坚持问题导向、高效便民、协同推进、风险可控原则，以更大力度深化</w:t>
      </w:r>
      <w:r>
        <w:rPr>
          <w:rFonts w:hint="eastAsia"/>
          <w:szCs w:val="32"/>
        </w:rPr>
        <w:t>“</w:t>
      </w:r>
      <w:r>
        <w:rPr>
          <w:szCs w:val="32"/>
        </w:rPr>
        <w:t>放管服</w:t>
      </w:r>
      <w:r>
        <w:rPr>
          <w:rFonts w:hint="eastAsia"/>
          <w:szCs w:val="32"/>
        </w:rPr>
        <w:t>”</w:t>
      </w:r>
      <w:r>
        <w:rPr>
          <w:szCs w:val="32"/>
        </w:rPr>
        <w:t>改革，推进政府职能转变，着力破除市场主体住所登记中的不合理限制，支持市场主体充分利用各类场地资源降低创业门槛和成本，进一步激发市场活力、增强发展动力。</w:t>
      </w:r>
    </w:p>
    <w:p w14:paraId="15740FE6">
      <w:pPr>
        <w:spacing w:line="600" w:lineRule="exact"/>
        <w:ind w:firstLine="632" w:firstLineChars="200"/>
        <w:rPr>
          <w:rFonts w:eastAsia="方正楷体_GBK"/>
          <w:szCs w:val="32"/>
        </w:rPr>
      </w:pPr>
      <w:r>
        <w:rPr>
          <w:rFonts w:eastAsia="方正楷体_GBK"/>
          <w:szCs w:val="32"/>
        </w:rPr>
        <w:t>（二）基本原则</w:t>
      </w:r>
    </w:p>
    <w:p w14:paraId="168E6B41">
      <w:pPr>
        <w:spacing w:line="600" w:lineRule="exact"/>
        <w:ind w:firstLine="632" w:firstLineChars="200"/>
        <w:rPr>
          <w:szCs w:val="32"/>
        </w:rPr>
      </w:pPr>
      <w:r>
        <w:rPr>
          <w:szCs w:val="32"/>
        </w:rPr>
        <w:t>1．简政放权、依法行政。按照少限制、多放宽、少干预、多引导的原则，着力营造宽松便捷的市场准入环境，进一步为市场主体放权赋能。法律、法规对住所条件有明确规定的，从其规定，法律法规没有规定的，不擅自增设住所登记条件。</w:t>
      </w:r>
    </w:p>
    <w:p w14:paraId="775B42E5">
      <w:pPr>
        <w:spacing w:line="600" w:lineRule="exact"/>
        <w:ind w:firstLine="632" w:firstLineChars="200"/>
        <w:rPr>
          <w:szCs w:val="32"/>
        </w:rPr>
      </w:pPr>
      <w:r>
        <w:rPr>
          <w:szCs w:val="32"/>
        </w:rPr>
        <w:t>2．统一规范、高效便捷。全面落实主体责任，申请人对申请材料的真实性、合法性、有效性负责，市场监管部门对申请材料实行形式审查，优化登记流程，不断提升注册登记便利度。</w:t>
      </w:r>
    </w:p>
    <w:p w14:paraId="2AA5BA6A">
      <w:pPr>
        <w:spacing w:line="600" w:lineRule="exact"/>
        <w:ind w:firstLine="632" w:firstLineChars="200"/>
        <w:rPr>
          <w:szCs w:val="32"/>
        </w:rPr>
      </w:pPr>
      <w:r>
        <w:rPr>
          <w:szCs w:val="32"/>
        </w:rPr>
        <w:t>3．放管结合、放管并重。坚持</w:t>
      </w:r>
      <w:r>
        <w:rPr>
          <w:rFonts w:hint="eastAsia"/>
          <w:szCs w:val="32"/>
        </w:rPr>
        <w:t>“</w:t>
      </w:r>
      <w:r>
        <w:rPr>
          <w:szCs w:val="32"/>
        </w:rPr>
        <w:t>谁审批、谁负责、谁主管、谁负责</w:t>
      </w:r>
      <w:r>
        <w:rPr>
          <w:rFonts w:hint="eastAsia"/>
          <w:szCs w:val="32"/>
        </w:rPr>
        <w:t>”</w:t>
      </w:r>
      <w:r>
        <w:rPr>
          <w:szCs w:val="32"/>
        </w:rPr>
        <w:t>原则，在放宽住所登记条件同时，落实好监管职责。建立健全部门信息共享、综合监管、信用惩戒等协同监管机制，以</w:t>
      </w:r>
      <w:r>
        <w:rPr>
          <w:rFonts w:hint="eastAsia"/>
          <w:szCs w:val="32"/>
        </w:rPr>
        <w:t>“</w:t>
      </w:r>
      <w:r>
        <w:rPr>
          <w:szCs w:val="32"/>
        </w:rPr>
        <w:t>管得住</w:t>
      </w:r>
      <w:r>
        <w:rPr>
          <w:rFonts w:hint="eastAsia"/>
          <w:szCs w:val="32"/>
        </w:rPr>
        <w:t>”</w:t>
      </w:r>
      <w:r>
        <w:rPr>
          <w:szCs w:val="32"/>
        </w:rPr>
        <w:t>，保障</w:t>
      </w:r>
      <w:r>
        <w:rPr>
          <w:rFonts w:hint="eastAsia"/>
          <w:szCs w:val="32"/>
        </w:rPr>
        <w:t>“</w:t>
      </w:r>
      <w:r>
        <w:rPr>
          <w:szCs w:val="32"/>
        </w:rPr>
        <w:t>放得开</w:t>
      </w:r>
      <w:r>
        <w:rPr>
          <w:rFonts w:hint="eastAsia"/>
          <w:szCs w:val="32"/>
        </w:rPr>
        <w:t>”</w:t>
      </w:r>
      <w:r>
        <w:rPr>
          <w:szCs w:val="32"/>
        </w:rPr>
        <w:t>，一体化协同推进改革。</w:t>
      </w:r>
    </w:p>
    <w:p w14:paraId="0AD0A2F0">
      <w:pPr>
        <w:spacing w:line="600" w:lineRule="exact"/>
        <w:ind w:firstLine="632" w:firstLineChars="200"/>
        <w:rPr>
          <w:rFonts w:eastAsia="方正黑体_GBK"/>
          <w:szCs w:val="32"/>
        </w:rPr>
      </w:pPr>
      <w:r>
        <w:rPr>
          <w:rFonts w:eastAsia="方正黑体_GBK"/>
          <w:szCs w:val="32"/>
        </w:rPr>
        <w:t>二、放宽住所登记条件的主要内容</w:t>
      </w:r>
    </w:p>
    <w:p w14:paraId="256CFB85">
      <w:pPr>
        <w:spacing w:line="600" w:lineRule="exact"/>
        <w:ind w:firstLine="632" w:firstLineChars="200"/>
        <w:rPr>
          <w:rFonts w:eastAsia="方正楷体_GBK"/>
          <w:szCs w:val="32"/>
        </w:rPr>
      </w:pPr>
      <w:r>
        <w:rPr>
          <w:rFonts w:eastAsia="方正楷体_GBK"/>
          <w:szCs w:val="32"/>
        </w:rPr>
        <w:t>（一）实行住所登记申报承诺制</w:t>
      </w:r>
    </w:p>
    <w:p w14:paraId="43BF0BB0">
      <w:pPr>
        <w:spacing w:line="600" w:lineRule="exact"/>
        <w:ind w:firstLine="632" w:firstLineChars="200"/>
        <w:rPr>
          <w:szCs w:val="32"/>
        </w:rPr>
      </w:pPr>
      <w:r>
        <w:rPr>
          <w:szCs w:val="32"/>
        </w:rPr>
        <w:t>1</w:t>
      </w:r>
      <w:r>
        <w:rPr>
          <w:rFonts w:hint="eastAsia"/>
          <w:szCs w:val="32"/>
        </w:rPr>
        <w:t>．适用范围。在本市范围内依法登记的公司、非公司企业法人、个人独资企业、合伙企业、农民专业合作社（联合社）及分支机构，外国公司分支机构，个体工商户。</w:t>
      </w:r>
    </w:p>
    <w:p w14:paraId="1CD3BB03">
      <w:pPr>
        <w:spacing w:line="600" w:lineRule="exact"/>
        <w:ind w:firstLine="632" w:firstLineChars="200"/>
        <w:rPr>
          <w:szCs w:val="32"/>
        </w:rPr>
      </w:pPr>
      <w:r>
        <w:rPr>
          <w:szCs w:val="32"/>
        </w:rPr>
        <w:t>2</w:t>
      </w:r>
      <w:r>
        <w:rPr>
          <w:rFonts w:hint="eastAsia"/>
          <w:szCs w:val="32"/>
        </w:rPr>
        <w:t>．主要内容。申报人规范、准确填报地址信息，提交《市场主体住所（经营场所）</w:t>
      </w:r>
      <w:r>
        <w:rPr>
          <w:szCs w:val="32"/>
        </w:rPr>
        <w:t>登记申报承诺书》，对其拟作为住所的房屋权属关系、使用功能及法定用途作出符合事实的承诺，并对承诺内容的真实性、合法性和有效性负责。市场监管部门按其申报承诺的地址核定住所，并在营业执照住所栏后标注</w:t>
      </w:r>
      <w:r>
        <w:rPr>
          <w:rFonts w:hint="eastAsia"/>
          <w:szCs w:val="32"/>
        </w:rPr>
        <w:t>“</w:t>
      </w:r>
      <w:r>
        <w:rPr>
          <w:szCs w:val="32"/>
        </w:rPr>
        <w:t>自主承诺</w:t>
      </w:r>
      <w:r>
        <w:rPr>
          <w:rFonts w:hint="eastAsia"/>
          <w:szCs w:val="32"/>
        </w:rPr>
        <w:t>”</w:t>
      </w:r>
      <w:r>
        <w:rPr>
          <w:szCs w:val="32"/>
        </w:rPr>
        <w:t>字样。从事涉及需许可的经营项目，市场主体登记的住所应当与相关许可、审批文件记载的住所地址一致。</w:t>
      </w:r>
    </w:p>
    <w:p w14:paraId="3C3CB06A">
      <w:pPr>
        <w:spacing w:line="600" w:lineRule="exact"/>
        <w:ind w:firstLine="632" w:firstLineChars="200"/>
        <w:rPr>
          <w:szCs w:val="32"/>
          <w:shd w:val="clear" w:color="auto" w:fill="FFFFFF"/>
          <w:lang w:bidi="ar"/>
        </w:rPr>
      </w:pPr>
      <w:r>
        <w:rPr>
          <w:szCs w:val="32"/>
        </w:rPr>
        <w:t>3</w:t>
      </w:r>
      <w:r>
        <w:rPr>
          <w:rFonts w:hint="eastAsia"/>
          <w:szCs w:val="32"/>
        </w:rPr>
        <w:t>．不适用情形。</w:t>
      </w:r>
      <w:r>
        <w:rPr>
          <w:szCs w:val="32"/>
          <w:shd w:val="clear" w:color="auto" w:fill="FFFFFF"/>
          <w:lang w:bidi="ar"/>
        </w:rPr>
        <w:t>属于下列情形的市场主体不适用住所登记申报</w:t>
      </w:r>
      <w:r>
        <w:rPr>
          <w:rFonts w:hint="eastAsia"/>
          <w:szCs w:val="32"/>
          <w:shd w:val="clear" w:color="auto" w:fill="FFFFFF"/>
          <w:lang w:bidi="ar"/>
        </w:rPr>
        <w:t>承诺制：</w:t>
      </w:r>
    </w:p>
    <w:p w14:paraId="5468F066">
      <w:pPr>
        <w:spacing w:line="600" w:lineRule="exact"/>
        <w:ind w:firstLine="632" w:firstLineChars="200"/>
        <w:rPr>
          <w:szCs w:val="32"/>
          <w:shd w:val="clear" w:color="auto" w:fill="FFFFFF"/>
          <w:lang w:bidi="ar"/>
        </w:rPr>
      </w:pPr>
      <w:r>
        <w:rPr>
          <w:rFonts w:hint="eastAsia"/>
          <w:szCs w:val="32"/>
          <w:shd w:val="clear" w:color="auto" w:fill="FFFFFF"/>
          <w:lang w:bidi="ar"/>
        </w:rPr>
        <w:t>⑴申请人自愿按一般程序办理住所登记的；</w:t>
      </w:r>
    </w:p>
    <w:p w14:paraId="7E00C545">
      <w:pPr>
        <w:spacing w:line="600" w:lineRule="exact"/>
        <w:ind w:firstLine="632" w:firstLineChars="200"/>
        <w:rPr>
          <w:szCs w:val="32"/>
        </w:rPr>
      </w:pPr>
      <w:r>
        <w:rPr>
          <w:rFonts w:hint="eastAsia"/>
          <w:szCs w:val="32"/>
          <w:shd w:val="clear" w:color="auto" w:fill="FFFFFF"/>
          <w:lang w:bidi="ar"/>
        </w:rPr>
        <w:t>⑵</w:t>
      </w:r>
      <w:r>
        <w:rPr>
          <w:rFonts w:hint="eastAsia"/>
          <w:szCs w:val="32"/>
        </w:rPr>
        <w:t>申请人不愿承诺、无法承诺或者不愿配合行政机关事中事后核查的；</w:t>
      </w:r>
    </w:p>
    <w:p w14:paraId="2392A4AB">
      <w:pPr>
        <w:spacing w:line="600" w:lineRule="exact"/>
        <w:ind w:firstLine="632" w:firstLineChars="200"/>
        <w:rPr>
          <w:szCs w:val="32"/>
          <w:shd w:val="clear" w:color="auto" w:fill="FFFFFF"/>
          <w:lang w:bidi="ar"/>
        </w:rPr>
      </w:pPr>
      <w:r>
        <w:rPr>
          <w:rFonts w:hint="eastAsia"/>
          <w:szCs w:val="32"/>
          <w:shd w:val="clear" w:color="auto" w:fill="FFFFFF"/>
          <w:lang w:bidi="ar"/>
        </w:rPr>
        <w:t>⑶有关单位或个人已对该住所的真实性、合法性提出异议的；</w:t>
      </w:r>
    </w:p>
    <w:p w14:paraId="255DDE45">
      <w:pPr>
        <w:spacing w:line="600" w:lineRule="exact"/>
        <w:ind w:firstLine="632" w:firstLineChars="200"/>
        <w:rPr>
          <w:szCs w:val="32"/>
          <w:shd w:val="clear" w:color="auto" w:fill="FFFFFF"/>
          <w:lang w:bidi="ar"/>
        </w:rPr>
      </w:pPr>
      <w:r>
        <w:rPr>
          <w:rFonts w:hint="eastAsia"/>
          <w:szCs w:val="32"/>
          <w:shd w:val="clear" w:color="auto" w:fill="FFFFFF"/>
          <w:lang w:bidi="ar"/>
        </w:rPr>
        <w:t>⑷失信被执行人、严重违法失信企业，以及企业法定代表人作为投资人新设立市场主体的；</w:t>
      </w:r>
    </w:p>
    <w:p w14:paraId="177FC38D">
      <w:pPr>
        <w:spacing w:line="600" w:lineRule="exact"/>
        <w:ind w:firstLine="632" w:firstLineChars="200"/>
        <w:rPr>
          <w:szCs w:val="32"/>
          <w:shd w:val="clear" w:color="auto" w:fill="FFFFFF"/>
          <w:lang w:bidi="ar"/>
        </w:rPr>
      </w:pPr>
      <w:r>
        <w:rPr>
          <w:rFonts w:hint="eastAsia"/>
          <w:szCs w:val="32"/>
          <w:shd w:val="clear" w:color="auto" w:fill="FFFFFF"/>
          <w:lang w:bidi="ar"/>
        </w:rPr>
        <w:t>⑸因登记的住所无法取得联系被列入经营异常名录未移出的；</w:t>
      </w:r>
    </w:p>
    <w:p w14:paraId="0E7E687C">
      <w:pPr>
        <w:spacing w:line="600" w:lineRule="exact"/>
        <w:ind w:firstLine="632" w:firstLineChars="200"/>
        <w:rPr>
          <w:szCs w:val="32"/>
          <w:shd w:val="clear" w:color="auto" w:fill="FFFFFF"/>
          <w:lang w:bidi="ar"/>
        </w:rPr>
      </w:pPr>
      <w:r>
        <w:rPr>
          <w:rFonts w:hint="eastAsia"/>
          <w:szCs w:val="32"/>
          <w:shd w:val="clear" w:color="auto" w:fill="FFFFFF"/>
          <w:lang w:bidi="ar"/>
        </w:rPr>
        <w:t>⑹法定用途为住宅的城镇居住用房作为住所登记的；</w:t>
      </w:r>
    </w:p>
    <w:p w14:paraId="297F9978">
      <w:pPr>
        <w:spacing w:line="600" w:lineRule="exact"/>
        <w:ind w:firstLine="632" w:firstLineChars="200"/>
        <w:rPr>
          <w:szCs w:val="32"/>
          <w:shd w:val="clear" w:color="auto" w:fill="FFFFFF"/>
          <w:lang w:bidi="ar"/>
        </w:rPr>
      </w:pPr>
      <w:r>
        <w:rPr>
          <w:rFonts w:hint="eastAsia"/>
          <w:szCs w:val="32"/>
          <w:shd w:val="clear" w:color="auto" w:fill="FFFFFF"/>
          <w:lang w:bidi="ar"/>
        </w:rPr>
        <w:t>⑺登</w:t>
      </w:r>
      <w:r>
        <w:rPr>
          <w:szCs w:val="32"/>
          <w:shd w:val="clear" w:color="auto" w:fill="FFFFFF"/>
          <w:lang w:bidi="ar"/>
        </w:rPr>
        <w:t>记机关认为不适用申报承诺制的其他情形。</w:t>
      </w:r>
    </w:p>
    <w:p w14:paraId="3F53B349">
      <w:pPr>
        <w:shd w:val="clear" w:color="auto" w:fill="FFFFFF"/>
        <w:spacing w:line="600" w:lineRule="exact"/>
        <w:ind w:firstLine="632" w:firstLineChars="200"/>
        <w:rPr>
          <w:szCs w:val="32"/>
        </w:rPr>
      </w:pPr>
      <w:r>
        <w:rPr>
          <w:szCs w:val="32"/>
        </w:rPr>
        <w:t>不适用住所登记申报承诺制的市场主体，办理登记时按一般程序办理，依法</w:t>
      </w:r>
      <w:r>
        <w:rPr>
          <w:szCs w:val="32"/>
          <w:shd w:val="clear" w:color="auto" w:fill="FFFFFF"/>
          <w:lang w:bidi="ar"/>
        </w:rPr>
        <w:t>提交房屋产权证明（不动产权证书、房地产权证、</w:t>
      </w:r>
      <w:r>
        <w:rPr>
          <w:szCs w:val="32"/>
        </w:rPr>
        <w:t>商品房买卖合同、房屋规划许可证、占道经营许可证等</w:t>
      </w:r>
      <w:r>
        <w:rPr>
          <w:szCs w:val="32"/>
          <w:shd w:val="clear" w:color="auto" w:fill="FFFFFF"/>
          <w:lang w:bidi="ar"/>
        </w:rPr>
        <w:t>）、租赁合同等材料。利用住宅从事经营活动申办</w:t>
      </w:r>
      <w:r>
        <w:rPr>
          <w:rFonts w:hint="eastAsia"/>
          <w:szCs w:val="32"/>
          <w:shd w:val="clear" w:color="auto" w:fill="FFFFFF"/>
          <w:lang w:bidi="ar"/>
        </w:rPr>
        <w:t>住所</w:t>
      </w:r>
      <w:r>
        <w:rPr>
          <w:szCs w:val="32"/>
          <w:shd w:val="clear" w:color="auto" w:fill="FFFFFF"/>
          <w:lang w:bidi="ar"/>
        </w:rPr>
        <w:t>登记的，还应提交有利害关系的业主一致同意将住宅改为经营性用房的意见</w:t>
      </w:r>
      <w:r>
        <w:rPr>
          <w:szCs w:val="32"/>
        </w:rPr>
        <w:t>。</w:t>
      </w:r>
    </w:p>
    <w:p w14:paraId="16EF5A96">
      <w:pPr>
        <w:numPr>
          <w:ilvl w:val="0"/>
          <w:numId w:val="2"/>
        </w:numPr>
        <w:shd w:val="clear" w:color="auto" w:fill="FFFFFF"/>
        <w:spacing w:line="600" w:lineRule="exact"/>
        <w:ind w:firstLine="632" w:firstLineChars="200"/>
        <w:jc w:val="left"/>
        <w:rPr>
          <w:rFonts w:eastAsia="方正楷体_GBK"/>
          <w:szCs w:val="32"/>
        </w:rPr>
      </w:pPr>
      <w:r>
        <w:rPr>
          <w:rFonts w:eastAsia="方正楷体_GBK"/>
          <w:szCs w:val="32"/>
        </w:rPr>
        <w:t>实行住所负面清单管理</w:t>
      </w:r>
    </w:p>
    <w:p w14:paraId="1878406A">
      <w:pPr>
        <w:shd w:val="clear" w:color="auto" w:fill="FFFFFF"/>
        <w:spacing w:line="600" w:lineRule="exact"/>
        <w:ind w:firstLine="632" w:firstLineChars="200"/>
        <w:jc w:val="left"/>
        <w:rPr>
          <w:szCs w:val="32"/>
          <w:lang w:bidi="ar"/>
        </w:rPr>
      </w:pPr>
      <w:r>
        <w:rPr>
          <w:szCs w:val="32"/>
        </w:rPr>
        <w:t>1．市场主体在经登记的住所从事生产经营活动，应当遵守土地管理、城乡规划、生态环保、安全使用、租赁管理等有关法律、法规及管理规约。</w:t>
      </w:r>
      <w:r>
        <w:rPr>
          <w:szCs w:val="32"/>
          <w:lang w:bidi="ar"/>
        </w:rPr>
        <w:t>不得扰乱市场经济秩序，不得损害社会公共利益。</w:t>
      </w:r>
    </w:p>
    <w:p w14:paraId="68536527">
      <w:pPr>
        <w:spacing w:line="600" w:lineRule="exact"/>
        <w:ind w:firstLine="632" w:firstLineChars="200"/>
        <w:rPr>
          <w:szCs w:val="32"/>
        </w:rPr>
      </w:pPr>
      <w:r>
        <w:rPr>
          <w:szCs w:val="32"/>
        </w:rPr>
        <w:t>2．违法建筑、纳入政府征收范围的建筑以及法律、法规规定禁止用于经营活动的其他建筑，不得作为市场主体的住所。</w:t>
      </w:r>
      <w:r>
        <w:rPr>
          <w:szCs w:val="32"/>
        </w:rPr>
        <w:br w:type="textWrapping"/>
      </w:r>
      <w:r>
        <w:rPr>
          <w:szCs w:val="32"/>
        </w:rPr>
        <w:t xml:space="preserve">    3</w:t>
      </w:r>
      <w:r>
        <w:rPr>
          <w:rFonts w:hint="eastAsia"/>
          <w:szCs w:val="32"/>
        </w:rPr>
        <w:t>．</w:t>
      </w:r>
      <w:r>
        <w:rPr>
          <w:szCs w:val="32"/>
        </w:rPr>
        <w:t>从事易燃易爆、危险品生产、经营、储存等可能存在安全隐患，以及生产加工</w:t>
      </w:r>
      <w:r>
        <w:rPr>
          <w:rFonts w:hint="eastAsia"/>
          <w:szCs w:val="32"/>
        </w:rPr>
        <w:t>、</w:t>
      </w:r>
      <w:r>
        <w:rPr>
          <w:szCs w:val="32"/>
        </w:rPr>
        <w:t>歌舞娱乐</w:t>
      </w:r>
      <w:r>
        <w:rPr>
          <w:rFonts w:hint="eastAsia"/>
          <w:szCs w:val="32"/>
        </w:rPr>
        <w:t>、</w:t>
      </w:r>
      <w:r>
        <w:rPr>
          <w:szCs w:val="32"/>
        </w:rPr>
        <w:t>餐饮服务等经营项目可能产生噪音、油烟、异味、废气</w:t>
      </w:r>
      <w:r>
        <w:rPr>
          <w:rFonts w:hint="eastAsia"/>
          <w:szCs w:val="32"/>
        </w:rPr>
        <w:t>污染</w:t>
      </w:r>
      <w:r>
        <w:rPr>
          <w:szCs w:val="32"/>
        </w:rPr>
        <w:t>的市场主体，不得将住宅作为住所进行登记。</w:t>
      </w:r>
    </w:p>
    <w:p w14:paraId="4960E98C">
      <w:pPr>
        <w:shd w:val="clear" w:color="auto" w:fill="FFFFFF"/>
        <w:spacing w:line="600" w:lineRule="exact"/>
        <w:ind w:firstLine="632" w:firstLineChars="200"/>
        <w:rPr>
          <w:szCs w:val="32"/>
        </w:rPr>
      </w:pPr>
      <w:r>
        <w:rPr>
          <w:szCs w:val="32"/>
          <w:shd w:val="clear" w:color="auto" w:fill="FFFFFF"/>
        </w:rPr>
        <w:t>市场主</w:t>
      </w:r>
      <w:r>
        <w:rPr>
          <w:szCs w:val="32"/>
        </w:rPr>
        <w:t>体住所禁止性规定实行清单管理，市局将会同相关部门</w:t>
      </w:r>
      <w:r>
        <w:rPr>
          <w:szCs w:val="32"/>
          <w:shd w:val="clear" w:color="auto" w:fill="FFFFFF"/>
        </w:rPr>
        <w:t>根据法律、法规对市场主体住所相关禁止性规定进行梳理，分批次进行公布，并实施动态更新</w:t>
      </w:r>
      <w:r>
        <w:rPr>
          <w:szCs w:val="32"/>
        </w:rPr>
        <w:t>。各区县局应加强与同级相关部门的沟通，结合本地区城乡规划和管理的实际，进一步明确禁止住所登记的具体区域，向社会公布。</w:t>
      </w:r>
    </w:p>
    <w:p w14:paraId="233A16A1">
      <w:pPr>
        <w:shd w:val="clear" w:color="auto" w:fill="FFFFFF"/>
        <w:spacing w:line="600" w:lineRule="exact"/>
        <w:ind w:firstLine="632" w:firstLineChars="200"/>
        <w:rPr>
          <w:rFonts w:eastAsia="方正楷体_GBK"/>
          <w:szCs w:val="32"/>
        </w:rPr>
      </w:pPr>
      <w:r>
        <w:rPr>
          <w:rFonts w:eastAsia="方正楷体_GBK"/>
          <w:szCs w:val="32"/>
        </w:rPr>
        <w:t>（三）创新住所登记方式</w:t>
      </w:r>
    </w:p>
    <w:p w14:paraId="2AB961C0">
      <w:pPr>
        <w:spacing w:line="600" w:lineRule="exact"/>
        <w:ind w:firstLine="632" w:firstLineChars="200"/>
        <w:rPr>
          <w:szCs w:val="32"/>
          <w:shd w:val="clear" w:color="auto" w:fill="FFFFFF"/>
          <w:lang w:bidi="ar"/>
        </w:rPr>
      </w:pPr>
      <w:r>
        <w:rPr>
          <w:szCs w:val="32"/>
        </w:rPr>
        <w:t>1．法律、法规未对市场主体住所做出禁止性或者限制性规定的，同一地址可以作为多个市场主体的住所进行登记。</w:t>
      </w:r>
      <w:r>
        <w:rPr>
          <w:szCs w:val="32"/>
          <w:shd w:val="clear" w:color="auto" w:fill="FFFFFF"/>
          <w:lang w:bidi="ar"/>
        </w:rPr>
        <w:t>原市场主体已不在其登记住所开展经营活动但未办理变更登记或注销登记的，该地址可由新市场主体作为住所申办登记。</w:t>
      </w:r>
    </w:p>
    <w:p w14:paraId="261D11BC">
      <w:pPr>
        <w:spacing w:line="600" w:lineRule="exact"/>
        <w:ind w:firstLine="632" w:firstLineChars="200"/>
        <w:rPr>
          <w:szCs w:val="32"/>
        </w:rPr>
      </w:pPr>
      <w:r>
        <w:rPr>
          <w:szCs w:val="32"/>
        </w:rPr>
        <w:t>2．多个市场主体可以以一家托管机构的地址作为其住所进行登记。经各区县（自治县）人民政府、产业园区管委会以及相关部门认定的各类创业园、产业园、创客空间、孵化园的运营单位，依法登记的律师事务所、会计师事务所可以作为托管机构，为入驻市场主体提供地址托管，集群注册。托管机构负责入驻市场主体的信息联络、文书送达签收，并配合相关部门开展监管工作。市场主体集群注册登记的具体管理办法由市局另行制定。</w:t>
      </w:r>
    </w:p>
    <w:p w14:paraId="72B6F9AA">
      <w:pPr>
        <w:spacing w:line="600" w:lineRule="exact"/>
        <w:ind w:firstLine="632" w:firstLineChars="200"/>
        <w:rPr>
          <w:szCs w:val="32"/>
        </w:rPr>
      </w:pPr>
      <w:r>
        <w:rPr>
          <w:szCs w:val="32"/>
        </w:rPr>
        <w:t>3</w:t>
      </w:r>
      <w:r>
        <w:rPr>
          <w:rFonts w:hint="eastAsia"/>
          <w:szCs w:val="32"/>
        </w:rPr>
        <w:t>．除个体工商户外，市场主体可以在住所外设立多个符合规定的生产经营场所，生产经营场所与住所属同一区县市场监管局登记管辖区域的，可以申请经营场所备案；不属同一区县市场监管局登记管辖区域的，应当向生产经营场所所在地市场监管局申请分支机构登记。</w:t>
      </w:r>
      <w:r>
        <w:rPr>
          <w:rFonts w:hint="eastAsia"/>
          <w:szCs w:val="32"/>
          <w:shd w:val="clear" w:color="auto" w:fill="FFFFFF"/>
        </w:rPr>
        <w:t>企业申报的“一照多址”，由登记机关将多个地址信息记载于营业执照，并通过国家企业信用信息公示系统（重庆）对外公示。</w:t>
      </w:r>
    </w:p>
    <w:p w14:paraId="40BA47EF">
      <w:pPr>
        <w:spacing w:line="600" w:lineRule="exact"/>
        <w:ind w:firstLine="632" w:firstLineChars="200"/>
        <w:rPr>
          <w:szCs w:val="32"/>
        </w:rPr>
      </w:pPr>
      <w:r>
        <w:rPr>
          <w:szCs w:val="32"/>
        </w:rPr>
        <w:t>4</w:t>
      </w:r>
      <w:r>
        <w:rPr>
          <w:rFonts w:hint="eastAsia"/>
          <w:szCs w:val="32"/>
        </w:rPr>
        <w:t>．个体</w:t>
      </w:r>
      <w:r>
        <w:rPr>
          <w:szCs w:val="32"/>
        </w:rPr>
        <w:t>工商户仅通过网络开展经营活动的，可以将一个或者多个网络经营场所登记为经营场所，营业执照经营场所栏记载网络经营场所网址。</w:t>
      </w:r>
    </w:p>
    <w:p w14:paraId="430A56C2">
      <w:pPr>
        <w:spacing w:line="600" w:lineRule="exact"/>
        <w:ind w:firstLine="632" w:firstLineChars="200"/>
        <w:rPr>
          <w:rFonts w:eastAsia="方正黑体_GBK"/>
          <w:szCs w:val="32"/>
        </w:rPr>
      </w:pPr>
      <w:r>
        <w:rPr>
          <w:rFonts w:eastAsia="方正黑体_GBK"/>
          <w:szCs w:val="32"/>
        </w:rPr>
        <w:t>三、加强住所监督管理</w:t>
      </w:r>
    </w:p>
    <w:p w14:paraId="3AA0E50A">
      <w:pPr>
        <w:spacing w:line="600" w:lineRule="exact"/>
        <w:ind w:firstLine="632" w:firstLineChars="200"/>
        <w:rPr>
          <w:szCs w:val="32"/>
        </w:rPr>
      </w:pPr>
      <w:r>
        <w:rPr>
          <w:szCs w:val="32"/>
        </w:rPr>
        <w:t>强化底线思维和风险意识，切实加强对市场主体住所的监管，通过下列方式，对市场主体登记住所与实际情况是否相符进行核查和处置</w:t>
      </w:r>
    </w:p>
    <w:p w14:paraId="025F6160">
      <w:pPr>
        <w:spacing w:line="600" w:lineRule="exact"/>
        <w:ind w:firstLine="632" w:firstLineChars="200"/>
        <w:rPr>
          <w:szCs w:val="32"/>
        </w:rPr>
      </w:pPr>
      <w:r>
        <w:rPr>
          <w:rFonts w:eastAsia="方正楷体_GBK"/>
          <w:szCs w:val="32"/>
        </w:rPr>
        <w:t>（一）做好日常监管。</w:t>
      </w:r>
      <w:r>
        <w:rPr>
          <w:rFonts w:hint="eastAsia"/>
          <w:szCs w:val="32"/>
        </w:rPr>
        <w:t>开展部门联合“双随机、一公开”抽查；对实行申报承诺制的新登记和住所变更的市场主体开展“双随机、一公开”专项抽查，抽查和处置结果通过国家企业信用信息公示系统（重庆）进行公示。</w:t>
      </w:r>
    </w:p>
    <w:p w14:paraId="2DFB9E54">
      <w:pPr>
        <w:spacing w:line="600" w:lineRule="exact"/>
        <w:ind w:firstLine="632" w:firstLineChars="200"/>
        <w:rPr>
          <w:szCs w:val="32"/>
        </w:rPr>
      </w:pPr>
      <w:r>
        <w:rPr>
          <w:rFonts w:eastAsia="方正楷体_GBK"/>
          <w:szCs w:val="32"/>
        </w:rPr>
        <w:t>（二）突出重点监管。</w:t>
      </w:r>
      <w:r>
        <w:rPr>
          <w:szCs w:val="32"/>
        </w:rPr>
        <w:t>对通过日常监管、随机抽查、投诉举报、上级交办、部门转办等发现登记住所与承诺不符，且无法取得联系的市场主体，依法列入经营异常名录，通过国家信用信息公示系统（重庆）向社会公示；市场主体不予配合检查情节严重的，依法实施</w:t>
      </w:r>
      <w:r>
        <w:rPr>
          <w:rFonts w:hint="eastAsia"/>
          <w:szCs w:val="32"/>
        </w:rPr>
        <w:t>惩戒，对外公示。</w:t>
      </w:r>
    </w:p>
    <w:p w14:paraId="75580ECC">
      <w:pPr>
        <w:spacing w:line="600" w:lineRule="exact"/>
        <w:ind w:firstLine="632" w:firstLineChars="200"/>
        <w:rPr>
          <w:szCs w:val="32"/>
        </w:rPr>
      </w:pPr>
      <w:r>
        <w:rPr>
          <w:rFonts w:eastAsia="方正楷体_GBK"/>
          <w:szCs w:val="32"/>
        </w:rPr>
        <w:t>（三）实行联合惩戒。</w:t>
      </w:r>
      <w:r>
        <w:rPr>
          <w:rFonts w:hint="eastAsia"/>
          <w:szCs w:val="32"/>
        </w:rPr>
        <w:t>对作出虚假承诺或不实承诺申报登记的市场主体，依法责令限期整改、撤销登记或者给予行政处罚，相关信息实时导入全市告知承诺系统，实施分类精准监管和部门联合惩戒，对企业法定代表人（负责人）任职资格予以限制。涉嫌犯罪的，依法移送司法机关。</w:t>
      </w:r>
    </w:p>
    <w:p w14:paraId="2038CAA3">
      <w:pPr>
        <w:spacing w:line="600" w:lineRule="exact"/>
        <w:ind w:firstLine="632" w:firstLineChars="200"/>
        <w:rPr>
          <w:szCs w:val="32"/>
        </w:rPr>
      </w:pPr>
      <w:r>
        <w:rPr>
          <w:rFonts w:eastAsia="方正楷体_GBK"/>
          <w:szCs w:val="32"/>
        </w:rPr>
        <w:t>（四）发挥社会监督。</w:t>
      </w:r>
      <w:r>
        <w:rPr>
          <w:rFonts w:hint="eastAsia"/>
          <w:szCs w:val="32"/>
        </w:rPr>
        <w:t>依托重庆企业信用码等载体，将市场主体住所申报承诺内容予以公示，接受社会监督。畅通住所登记不实承诺的电话、网络举报投诉渠道，依法对投诉举报进行处理。</w:t>
      </w:r>
    </w:p>
    <w:p w14:paraId="3F3EAEA6">
      <w:pPr>
        <w:spacing w:line="600" w:lineRule="exact"/>
        <w:ind w:firstLine="632" w:firstLineChars="200"/>
        <w:rPr>
          <w:szCs w:val="32"/>
        </w:rPr>
      </w:pPr>
      <w:r>
        <w:rPr>
          <w:rFonts w:eastAsia="方正楷体_GBK"/>
          <w:szCs w:val="32"/>
        </w:rPr>
        <w:t>（五）强化部门协同。</w:t>
      </w:r>
      <w:r>
        <w:rPr>
          <w:rFonts w:hint="eastAsia"/>
          <w:szCs w:val="32"/>
        </w:rPr>
        <w:t>市局加</w:t>
      </w:r>
      <w:r>
        <w:rPr>
          <w:szCs w:val="32"/>
        </w:rPr>
        <w:t>强与规划自然资源部门的信息共享，通过实现不动产登记和市场主体登记信息互通共享，对市场主体住所申报信息进行核验。对不动产登记信息比对存疑的市场主体，纳入重点监管，提高双随机抽查比例，依法依</w:t>
      </w:r>
      <w:r>
        <w:rPr>
          <w:rFonts w:hint="eastAsia"/>
          <w:szCs w:val="32"/>
        </w:rPr>
        <w:t>规</w:t>
      </w:r>
      <w:r>
        <w:rPr>
          <w:szCs w:val="32"/>
        </w:rPr>
        <w:t>进行处理；</w:t>
      </w:r>
    </w:p>
    <w:p w14:paraId="0FA33103">
      <w:pPr>
        <w:spacing w:line="600" w:lineRule="exact"/>
        <w:ind w:firstLine="632" w:firstLineChars="200"/>
        <w:rPr>
          <w:szCs w:val="32"/>
        </w:rPr>
      </w:pPr>
      <w:r>
        <w:rPr>
          <w:szCs w:val="32"/>
        </w:rPr>
        <w:t>按照</w:t>
      </w:r>
      <w:r>
        <w:rPr>
          <w:rFonts w:hint="eastAsia"/>
          <w:szCs w:val="32"/>
        </w:rPr>
        <w:t>“</w:t>
      </w:r>
      <w:r>
        <w:rPr>
          <w:szCs w:val="32"/>
        </w:rPr>
        <w:t>谁审批、谁监管，谁主管、谁监管</w:t>
      </w:r>
      <w:r>
        <w:rPr>
          <w:rFonts w:hint="eastAsia"/>
          <w:szCs w:val="32"/>
        </w:rPr>
        <w:t>”</w:t>
      </w:r>
      <w:r>
        <w:rPr>
          <w:szCs w:val="32"/>
        </w:rPr>
        <w:t>原则，对于在监管中发现属于规划自然资源、住房城乡、公安、生态环境、消防、城市管理、应急管理等部门职责的违法行为，各区县局应及时抄送移交相关部门依法处理。</w:t>
      </w:r>
    </w:p>
    <w:p w14:paraId="14E64EFF">
      <w:pPr>
        <w:spacing w:line="600" w:lineRule="exact"/>
        <w:ind w:firstLine="632" w:firstLineChars="200"/>
        <w:rPr>
          <w:szCs w:val="32"/>
        </w:rPr>
      </w:pPr>
      <w:r>
        <w:rPr>
          <w:szCs w:val="32"/>
        </w:rPr>
        <w:t>相关部门依托国家企业信用信息公示系统（重庆）和市政务</w:t>
      </w:r>
      <w:r>
        <w:rPr>
          <w:rFonts w:hint="eastAsia"/>
          <w:szCs w:val="32"/>
        </w:rPr>
        <w:t>数据资源共享系统</w:t>
      </w:r>
      <w:r>
        <w:rPr>
          <w:szCs w:val="32"/>
        </w:rPr>
        <w:t>实现市场主体登记、许可、监管、信用信息的互联互通，加强对市场主体住所的协同联动监管。</w:t>
      </w:r>
    </w:p>
    <w:p w14:paraId="3055CBE5">
      <w:pPr>
        <w:numPr>
          <w:ilvl w:val="0"/>
          <w:numId w:val="3"/>
        </w:numPr>
        <w:spacing w:line="600" w:lineRule="exact"/>
        <w:ind w:firstLine="632" w:firstLineChars="200"/>
        <w:rPr>
          <w:rFonts w:eastAsia="方正黑体_GBK"/>
          <w:szCs w:val="32"/>
        </w:rPr>
      </w:pPr>
      <w:r>
        <w:rPr>
          <w:rFonts w:eastAsia="方正黑体_GBK"/>
          <w:szCs w:val="32"/>
        </w:rPr>
        <w:t>工作要求</w:t>
      </w:r>
    </w:p>
    <w:p w14:paraId="3C071B11">
      <w:pPr>
        <w:spacing w:line="600" w:lineRule="exact"/>
        <w:ind w:firstLine="632" w:firstLineChars="200"/>
        <w:jc w:val="left"/>
        <w:rPr>
          <w:szCs w:val="32"/>
        </w:rPr>
      </w:pPr>
      <w:r>
        <w:rPr>
          <w:rFonts w:eastAsia="方正楷体_GBK"/>
          <w:szCs w:val="32"/>
        </w:rPr>
        <w:t>（一）准确把握改革精神，增强统筹能力。</w:t>
      </w:r>
      <w:r>
        <w:rPr>
          <w:szCs w:val="32"/>
        </w:rPr>
        <w:t>各区县局要切实提高政治站位，准确把握住所登记改革的新要求，在推动</w:t>
      </w:r>
      <w:r>
        <w:rPr>
          <w:rFonts w:hint="eastAsia"/>
          <w:szCs w:val="32"/>
        </w:rPr>
        <w:t>“</w:t>
      </w:r>
      <w:r>
        <w:rPr>
          <w:szCs w:val="32"/>
        </w:rPr>
        <w:t>放得开</w:t>
      </w:r>
      <w:r>
        <w:rPr>
          <w:rFonts w:hint="eastAsia"/>
          <w:szCs w:val="32"/>
        </w:rPr>
        <w:t>”</w:t>
      </w:r>
      <w:r>
        <w:rPr>
          <w:szCs w:val="32"/>
        </w:rPr>
        <w:t>的同时，坚持</w:t>
      </w:r>
      <w:r>
        <w:rPr>
          <w:rFonts w:hint="eastAsia"/>
          <w:szCs w:val="32"/>
        </w:rPr>
        <w:t>“</w:t>
      </w:r>
      <w:r>
        <w:rPr>
          <w:szCs w:val="32"/>
        </w:rPr>
        <w:t>管得住</w:t>
      </w:r>
      <w:r>
        <w:rPr>
          <w:rFonts w:hint="eastAsia"/>
          <w:szCs w:val="32"/>
        </w:rPr>
        <w:t>”</w:t>
      </w:r>
      <w:r>
        <w:rPr>
          <w:szCs w:val="32"/>
        </w:rPr>
        <w:t>的底线思维。落实放管结合、放管并重的要求，按照依法依规、归口管理、属地负责、协同监管、信用约束的原则，进一步完善机制、细化措施，确保任务落地落实。</w:t>
      </w:r>
    </w:p>
    <w:p w14:paraId="357A7FEA">
      <w:pPr>
        <w:spacing w:line="600" w:lineRule="exact"/>
        <w:ind w:firstLine="632" w:firstLineChars="200"/>
        <w:jc w:val="left"/>
        <w:rPr>
          <w:szCs w:val="32"/>
        </w:rPr>
      </w:pPr>
      <w:r>
        <w:rPr>
          <w:rFonts w:eastAsia="方正楷体_GBK"/>
          <w:szCs w:val="32"/>
        </w:rPr>
        <w:t>（二）强化沟通协作，注重分析研判。</w:t>
      </w:r>
      <w:r>
        <w:rPr>
          <w:szCs w:val="32"/>
        </w:rPr>
        <w:t>市局建立风险研判预警机制，通过系统</w:t>
      </w:r>
      <w:r>
        <w:rPr>
          <w:color w:val="000000"/>
          <w:szCs w:val="32"/>
        </w:rPr>
        <w:t>对同一地址登记注册数量过多的情形进行警示提示，及时发现可能存在的风险隐患。各区县局应加强登记审查，必要时启动实质审查。同时要加强</w:t>
      </w:r>
      <w:r>
        <w:rPr>
          <w:szCs w:val="32"/>
        </w:rPr>
        <w:t>与规划自然资源、城市管理、住房城乡</w:t>
      </w:r>
      <w:r>
        <w:rPr>
          <w:rFonts w:hint="eastAsia"/>
          <w:szCs w:val="32"/>
        </w:rPr>
        <w:t>、生态环境</w:t>
      </w:r>
      <w:r>
        <w:rPr>
          <w:szCs w:val="32"/>
        </w:rPr>
        <w:t>等部门</w:t>
      </w:r>
      <w:r>
        <w:rPr>
          <w:rFonts w:hint="eastAsia"/>
          <w:szCs w:val="32"/>
        </w:rPr>
        <w:t>以及</w:t>
      </w:r>
      <w:r>
        <w:rPr>
          <w:szCs w:val="32"/>
        </w:rPr>
        <w:t>街道乡镇的对接，建立工作协调机制，定期召开联席会议，对注册登记、日常监管、投诉举报等渠道发现的异常情况进行综合研判，确定重点监管行业，突出事中事后监管的针对性。</w:t>
      </w:r>
    </w:p>
    <w:p w14:paraId="3ACD67AB">
      <w:pPr>
        <w:spacing w:line="600" w:lineRule="exact"/>
        <w:ind w:firstLine="632" w:firstLineChars="200"/>
        <w:jc w:val="left"/>
        <w:rPr>
          <w:szCs w:val="32"/>
        </w:rPr>
      </w:pPr>
      <w:r>
        <w:rPr>
          <w:rFonts w:eastAsia="方正楷体_GBK"/>
          <w:szCs w:val="32"/>
        </w:rPr>
        <w:t>（三）加强宣传引导，营造良好氛围。</w:t>
      </w:r>
      <w:r>
        <w:rPr>
          <w:szCs w:val="32"/>
        </w:rPr>
        <w:t>各区县局要采取多种方式向社会公众和有关部门宣传改革政策，引导社会各界知晓改革内容，协同推进改革，使社会公众和市场主体充分享受改革红利。改革过程中，要强化对改革实施效果的跟踪调查，注意收集办事群众遇到的问题和困难，提出解决意见，及时上报市局。</w:t>
      </w:r>
    </w:p>
    <w:p w14:paraId="38D1917A">
      <w:pPr>
        <w:spacing w:line="600" w:lineRule="exact"/>
        <w:ind w:firstLine="632" w:firstLineChars="200"/>
        <w:jc w:val="left"/>
        <w:rPr>
          <w:szCs w:val="32"/>
        </w:rPr>
      </w:pPr>
    </w:p>
    <w:p w14:paraId="17B53583">
      <w:pPr>
        <w:spacing w:line="600" w:lineRule="exact"/>
        <w:ind w:firstLine="632" w:firstLineChars="200"/>
        <w:jc w:val="left"/>
        <w:rPr>
          <w:szCs w:val="32"/>
        </w:rPr>
      </w:pPr>
      <w:r>
        <w:rPr>
          <w:szCs w:val="32"/>
        </w:rPr>
        <w:t>附件：1</w:t>
      </w:r>
      <w:r>
        <w:rPr>
          <w:rFonts w:hint="eastAsia"/>
          <w:szCs w:val="32"/>
        </w:rPr>
        <w:t>．市场主体住所（经营场所）登记申报承诺书</w:t>
      </w:r>
    </w:p>
    <w:p w14:paraId="5783E7CE">
      <w:pPr>
        <w:spacing w:line="600" w:lineRule="exact"/>
        <w:ind w:firstLine="632" w:firstLineChars="200"/>
        <w:jc w:val="left"/>
        <w:rPr>
          <w:szCs w:val="32"/>
        </w:rPr>
      </w:pPr>
      <w:r>
        <w:rPr>
          <w:rFonts w:hint="eastAsia"/>
          <w:szCs w:val="32"/>
        </w:rPr>
        <w:t>　　　</w:t>
      </w:r>
      <w:r>
        <w:rPr>
          <w:szCs w:val="32"/>
        </w:rPr>
        <w:t>2</w:t>
      </w:r>
      <w:r>
        <w:rPr>
          <w:rFonts w:hint="eastAsia"/>
          <w:szCs w:val="32"/>
        </w:rPr>
        <w:t>．</w:t>
      </w:r>
      <w:r>
        <w:rPr>
          <w:szCs w:val="32"/>
        </w:rPr>
        <w:t>市场主体住所（经营场所）禁设参考目录</w:t>
      </w:r>
    </w:p>
    <w:p w14:paraId="43901F44">
      <w:pPr>
        <w:spacing w:line="600" w:lineRule="exact"/>
        <w:jc w:val="left"/>
        <w:rPr>
          <w:szCs w:val="32"/>
        </w:rPr>
      </w:pPr>
    </w:p>
    <w:p w14:paraId="1887CE58">
      <w:pPr>
        <w:tabs>
          <w:tab w:val="left" w:pos="5681"/>
        </w:tabs>
        <w:spacing w:line="600" w:lineRule="exact"/>
        <w:ind w:firstLine="5056" w:firstLineChars="1600"/>
        <w:rPr>
          <w:szCs w:val="32"/>
        </w:rPr>
      </w:pPr>
      <w:r>
        <w:rPr>
          <w:szCs w:val="32"/>
        </w:rPr>
        <w:t>重庆市市场监督管理局</w:t>
      </w:r>
    </w:p>
    <w:p w14:paraId="23E903EE">
      <w:pPr>
        <w:shd w:val="clear" w:color="auto" w:fill="FFFFFF"/>
        <w:spacing w:line="600" w:lineRule="exact"/>
        <w:ind w:firstLine="5688" w:firstLineChars="1800"/>
        <w:rPr>
          <w:szCs w:val="32"/>
        </w:rPr>
      </w:pPr>
      <w:r>
        <w:rPr>
          <w:szCs w:val="32"/>
        </w:rPr>
        <w:t>2021年7月</w:t>
      </w:r>
      <w:r>
        <w:rPr>
          <w:rFonts w:hint="eastAsia"/>
          <w:szCs w:val="32"/>
        </w:rPr>
        <w:t>6日</w:t>
      </w:r>
    </w:p>
    <w:p w14:paraId="282BAC09">
      <w:pPr>
        <w:shd w:val="clear" w:color="auto" w:fill="FFFFFF"/>
        <w:ind w:firstLine="632" w:firstLineChars="200"/>
        <w:rPr>
          <w:szCs w:val="32"/>
        </w:rPr>
      </w:pPr>
    </w:p>
    <w:p w14:paraId="6392919D"/>
    <w:p w14:paraId="68D317CB">
      <w:pP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附件1</w:t>
      </w:r>
    </w:p>
    <w:p w14:paraId="29A814A5">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市场主体住所（经营场所）登记申报承诺书</w:t>
      </w:r>
    </w:p>
    <w:tbl>
      <w:tblPr>
        <w:tblStyle w:val="7"/>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7203"/>
      </w:tblGrid>
      <w:tr w14:paraId="3224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49" w:type="dxa"/>
            <w:vAlign w:val="center"/>
          </w:tcPr>
          <w:p w14:paraId="0AED5462">
            <w:pPr>
              <w:jc w:val="center"/>
              <w:rPr>
                <w:rFonts w:eastAsia="黑体"/>
                <w:sz w:val="21"/>
                <w:szCs w:val="21"/>
              </w:rPr>
            </w:pPr>
            <w:r>
              <w:rPr>
                <w:rFonts w:eastAsia="黑体"/>
                <w:sz w:val="21"/>
                <w:szCs w:val="21"/>
              </w:rPr>
              <w:t>企业名称</w:t>
            </w:r>
          </w:p>
          <w:p w14:paraId="2BB0BB50">
            <w:pPr>
              <w:jc w:val="center"/>
              <w:rPr>
                <w:rFonts w:eastAsia="黑体"/>
                <w:sz w:val="21"/>
                <w:szCs w:val="21"/>
              </w:rPr>
            </w:pPr>
            <w:r>
              <w:rPr>
                <w:rFonts w:eastAsia="黑体"/>
                <w:sz w:val="21"/>
                <w:szCs w:val="21"/>
              </w:rPr>
              <w:t>（经营者姓名）</w:t>
            </w:r>
          </w:p>
        </w:tc>
        <w:tc>
          <w:tcPr>
            <w:tcW w:w="7203" w:type="dxa"/>
            <w:vAlign w:val="center"/>
          </w:tcPr>
          <w:p w14:paraId="2128096F">
            <w:pPr>
              <w:spacing w:line="320" w:lineRule="exact"/>
              <w:jc w:val="center"/>
              <w:rPr>
                <w:b/>
                <w:bCs/>
                <w:sz w:val="21"/>
                <w:szCs w:val="21"/>
              </w:rPr>
            </w:pPr>
          </w:p>
        </w:tc>
      </w:tr>
      <w:tr w14:paraId="4E04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49" w:type="dxa"/>
            <w:vAlign w:val="center"/>
          </w:tcPr>
          <w:p w14:paraId="5933981A">
            <w:pPr>
              <w:jc w:val="center"/>
              <w:rPr>
                <w:rFonts w:eastAsia="黑体"/>
                <w:sz w:val="21"/>
                <w:szCs w:val="21"/>
              </w:rPr>
            </w:pPr>
            <w:r>
              <w:rPr>
                <w:rFonts w:eastAsia="黑体"/>
                <w:sz w:val="21"/>
                <w:szCs w:val="21"/>
              </w:rPr>
              <w:t>住所（经营场所）</w:t>
            </w:r>
          </w:p>
        </w:tc>
        <w:tc>
          <w:tcPr>
            <w:tcW w:w="7203" w:type="dxa"/>
            <w:vAlign w:val="center"/>
          </w:tcPr>
          <w:p w14:paraId="730B5760">
            <w:pPr>
              <w:spacing w:line="320" w:lineRule="exact"/>
              <w:jc w:val="center"/>
              <w:rPr>
                <w:sz w:val="21"/>
                <w:szCs w:val="21"/>
              </w:rPr>
            </w:pPr>
            <w:r>
              <w:rPr>
                <w:sz w:val="21"/>
                <w:szCs w:val="21"/>
              </w:rPr>
              <w:t>重庆市       区</w:t>
            </w:r>
            <w:r>
              <w:rPr>
                <w:rFonts w:hint="eastAsia"/>
                <w:sz w:val="21"/>
                <w:szCs w:val="21"/>
              </w:rPr>
              <w:t>（县）</w:t>
            </w:r>
            <w:r>
              <w:rPr>
                <w:sz w:val="21"/>
                <w:szCs w:val="21"/>
              </w:rPr>
              <w:t xml:space="preserve">      街道（乡/镇）       路（村/社区）       号</w:t>
            </w:r>
          </w:p>
        </w:tc>
      </w:tr>
      <w:tr w14:paraId="2261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49" w:type="dxa"/>
            <w:vAlign w:val="center"/>
          </w:tcPr>
          <w:p w14:paraId="6517D104">
            <w:pPr>
              <w:jc w:val="center"/>
              <w:rPr>
                <w:rFonts w:eastAsia="黑体"/>
                <w:sz w:val="21"/>
                <w:szCs w:val="21"/>
              </w:rPr>
            </w:pPr>
            <w:r>
              <w:rPr>
                <w:rFonts w:eastAsia="黑体"/>
                <w:sz w:val="21"/>
                <w:szCs w:val="21"/>
              </w:rPr>
              <w:t>房屋性质</w:t>
            </w:r>
          </w:p>
        </w:tc>
        <w:tc>
          <w:tcPr>
            <w:tcW w:w="7203" w:type="dxa"/>
            <w:vAlign w:val="center"/>
          </w:tcPr>
          <w:p w14:paraId="2F55E6AE">
            <w:pPr>
              <w:spacing w:line="320" w:lineRule="exact"/>
              <w:rPr>
                <w:sz w:val="21"/>
                <w:szCs w:val="21"/>
              </w:rPr>
            </w:pPr>
            <w:r>
              <w:rPr>
                <w:sz w:val="21"/>
                <w:szCs w:val="21"/>
              </w:rPr>
              <w:t xml:space="preserve">□非住宅         </w:t>
            </w:r>
            <w:r>
              <w:rPr>
                <w:rFonts w:hint="eastAsia"/>
                <w:sz w:val="21"/>
                <w:szCs w:val="21"/>
              </w:rPr>
              <w:t xml:space="preserve">     </w:t>
            </w:r>
            <w:r>
              <w:rPr>
                <w:sz w:val="21"/>
                <w:szCs w:val="21"/>
              </w:rPr>
              <w:t>□</w:t>
            </w:r>
            <w:r>
              <w:rPr>
                <w:rFonts w:hint="eastAsia"/>
                <w:sz w:val="21"/>
                <w:szCs w:val="21"/>
              </w:rPr>
              <w:t>农村住宅</w:t>
            </w:r>
          </w:p>
        </w:tc>
      </w:tr>
      <w:tr w14:paraId="06DF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049" w:type="dxa"/>
            <w:vAlign w:val="center"/>
          </w:tcPr>
          <w:p w14:paraId="068D300C">
            <w:pPr>
              <w:jc w:val="center"/>
              <w:rPr>
                <w:rFonts w:eastAsia="黑体"/>
                <w:sz w:val="21"/>
                <w:szCs w:val="21"/>
              </w:rPr>
            </w:pPr>
            <w:r>
              <w:rPr>
                <w:rFonts w:eastAsia="黑体"/>
                <w:sz w:val="21"/>
                <w:szCs w:val="21"/>
              </w:rPr>
              <w:t>房屋权属</w:t>
            </w:r>
          </w:p>
        </w:tc>
        <w:tc>
          <w:tcPr>
            <w:tcW w:w="7203" w:type="dxa"/>
            <w:vAlign w:val="center"/>
          </w:tcPr>
          <w:p w14:paraId="76894CCD">
            <w:pPr>
              <w:spacing w:line="320" w:lineRule="exact"/>
              <w:rPr>
                <w:sz w:val="21"/>
                <w:szCs w:val="21"/>
              </w:rPr>
            </w:pPr>
            <w:r>
              <w:rPr>
                <w:sz w:val="21"/>
                <w:szCs w:val="21"/>
              </w:rPr>
              <w:t>□自有           □租赁           □无偿使用          □其他</w:t>
            </w:r>
          </w:p>
        </w:tc>
      </w:tr>
      <w:tr w14:paraId="3A5B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049" w:type="dxa"/>
            <w:vMerge w:val="restart"/>
            <w:vAlign w:val="center"/>
          </w:tcPr>
          <w:p w14:paraId="45A3C1C1">
            <w:pPr>
              <w:jc w:val="center"/>
              <w:rPr>
                <w:rFonts w:eastAsia="黑体"/>
                <w:sz w:val="21"/>
                <w:szCs w:val="21"/>
              </w:rPr>
            </w:pPr>
            <w:r>
              <w:rPr>
                <w:rFonts w:eastAsia="黑体"/>
                <w:sz w:val="21"/>
                <w:szCs w:val="21"/>
              </w:rPr>
              <w:t>产权</w:t>
            </w:r>
            <w:r>
              <w:rPr>
                <w:rFonts w:hint="eastAsia" w:eastAsia="黑体"/>
                <w:sz w:val="21"/>
                <w:szCs w:val="21"/>
              </w:rPr>
              <w:t>相关</w:t>
            </w:r>
            <w:r>
              <w:rPr>
                <w:rFonts w:eastAsia="黑体"/>
                <w:sz w:val="21"/>
                <w:szCs w:val="21"/>
              </w:rPr>
              <w:t>信息</w:t>
            </w:r>
          </w:p>
        </w:tc>
        <w:tc>
          <w:tcPr>
            <w:tcW w:w="7203" w:type="dxa"/>
            <w:vAlign w:val="center"/>
          </w:tcPr>
          <w:p w14:paraId="174E27D5">
            <w:pPr>
              <w:spacing w:line="320" w:lineRule="exact"/>
              <w:rPr>
                <w:sz w:val="21"/>
                <w:szCs w:val="21"/>
              </w:rPr>
            </w:pPr>
            <w:r>
              <w:rPr>
                <w:sz w:val="21"/>
                <w:szCs w:val="21"/>
              </w:rPr>
              <w:t>□有</w:t>
            </w:r>
            <w:r>
              <w:rPr>
                <w:rFonts w:hint="eastAsia"/>
                <w:sz w:val="21"/>
                <w:szCs w:val="21"/>
              </w:rPr>
              <w:t>不动产证/产权证</w:t>
            </w:r>
            <w:r>
              <w:rPr>
                <w:sz w:val="21"/>
                <w:szCs w:val="21"/>
              </w:rPr>
              <w:t xml:space="preserve">             □无</w:t>
            </w:r>
            <w:r>
              <w:rPr>
                <w:rFonts w:hint="eastAsia"/>
                <w:sz w:val="21"/>
                <w:szCs w:val="21"/>
              </w:rPr>
              <w:t>不动产证/产权证</w:t>
            </w:r>
            <w:r>
              <w:rPr>
                <w:sz w:val="21"/>
                <w:szCs w:val="21"/>
              </w:rPr>
              <w:t xml:space="preserve"> </w:t>
            </w:r>
          </w:p>
        </w:tc>
      </w:tr>
      <w:tr w14:paraId="49CA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9" w:type="dxa"/>
            <w:vMerge w:val="continue"/>
            <w:vAlign w:val="center"/>
          </w:tcPr>
          <w:p w14:paraId="5953B3B0">
            <w:pPr>
              <w:jc w:val="center"/>
              <w:rPr>
                <w:rFonts w:eastAsia="黑体"/>
                <w:sz w:val="21"/>
                <w:szCs w:val="21"/>
              </w:rPr>
            </w:pPr>
          </w:p>
        </w:tc>
        <w:tc>
          <w:tcPr>
            <w:tcW w:w="7203" w:type="dxa"/>
            <w:vAlign w:val="center"/>
          </w:tcPr>
          <w:p w14:paraId="4213E008">
            <w:pPr>
              <w:spacing w:line="320" w:lineRule="exact"/>
              <w:rPr>
                <w:b/>
                <w:bCs/>
                <w:sz w:val="21"/>
                <w:szCs w:val="21"/>
              </w:rPr>
            </w:pPr>
            <w:r>
              <w:rPr>
                <w:sz w:val="21"/>
                <w:szCs w:val="21"/>
              </w:rPr>
              <w:t xml:space="preserve">不动产单元号/产权证号：          </w:t>
            </w:r>
          </w:p>
        </w:tc>
      </w:tr>
      <w:tr w14:paraId="3648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49" w:type="dxa"/>
            <w:vMerge w:val="continue"/>
            <w:vAlign w:val="center"/>
          </w:tcPr>
          <w:p w14:paraId="044D1C96">
            <w:pPr>
              <w:jc w:val="center"/>
              <w:rPr>
                <w:rFonts w:eastAsia="黑体"/>
                <w:sz w:val="24"/>
              </w:rPr>
            </w:pPr>
          </w:p>
        </w:tc>
        <w:tc>
          <w:tcPr>
            <w:tcW w:w="7203" w:type="dxa"/>
            <w:vAlign w:val="center"/>
          </w:tcPr>
          <w:p w14:paraId="1C7E1335">
            <w:pPr>
              <w:spacing w:line="320" w:lineRule="exact"/>
              <w:rPr>
                <w:sz w:val="21"/>
                <w:szCs w:val="21"/>
              </w:rPr>
            </w:pPr>
            <w:r>
              <w:rPr>
                <w:rFonts w:hint="eastAsia"/>
                <w:sz w:val="21"/>
                <w:szCs w:val="21"/>
              </w:rPr>
              <w:t>房屋坐落：</w:t>
            </w:r>
          </w:p>
        </w:tc>
      </w:tr>
      <w:tr w14:paraId="2A7A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trPr>
        <w:tc>
          <w:tcPr>
            <w:tcW w:w="9252" w:type="dxa"/>
            <w:gridSpan w:val="2"/>
          </w:tcPr>
          <w:p w14:paraId="78C96628">
            <w:pPr>
              <w:spacing w:line="260" w:lineRule="exact"/>
              <w:ind w:firstLine="412" w:firstLineChars="200"/>
              <w:rPr>
                <w:kern w:val="0"/>
                <w:sz w:val="21"/>
                <w:szCs w:val="21"/>
              </w:rPr>
            </w:pPr>
            <w:r>
              <w:rPr>
                <w:rFonts w:hint="eastAsia"/>
                <w:kern w:val="0"/>
                <w:sz w:val="21"/>
                <w:szCs w:val="21"/>
              </w:rPr>
              <w:t>本申请人已知晓住所（经营场所）相关禁止性和限制性规定，现就住所（经营场所）登记作如下承诺：</w:t>
            </w:r>
          </w:p>
          <w:p w14:paraId="200C05A3">
            <w:pPr>
              <w:numPr>
                <w:ilvl w:val="0"/>
                <w:numId w:val="4"/>
              </w:numPr>
              <w:spacing w:line="260" w:lineRule="exact"/>
              <w:ind w:firstLine="412" w:firstLineChars="200"/>
              <w:rPr>
                <w:kern w:val="0"/>
                <w:sz w:val="21"/>
                <w:szCs w:val="21"/>
              </w:rPr>
            </w:pPr>
            <w:r>
              <w:rPr>
                <w:rFonts w:hint="eastAsia"/>
                <w:sz w:val="21"/>
                <w:szCs w:val="21"/>
              </w:rPr>
              <w:t>申请登记的住所（经营场所）信息与实际情况一致，所提交的证明材料真实、合法、有效，愿意承担因填报虚假信息造成的法律责任；</w:t>
            </w:r>
          </w:p>
          <w:p w14:paraId="5AAB0AAE">
            <w:pPr>
              <w:numPr>
                <w:ilvl w:val="0"/>
                <w:numId w:val="4"/>
              </w:numPr>
              <w:spacing w:line="260" w:lineRule="exact"/>
              <w:ind w:firstLine="412" w:firstLineChars="200"/>
              <w:rPr>
                <w:kern w:val="0"/>
                <w:sz w:val="21"/>
                <w:szCs w:val="21"/>
              </w:rPr>
            </w:pPr>
            <w:r>
              <w:rPr>
                <w:rFonts w:hint="eastAsia"/>
                <w:kern w:val="0"/>
                <w:sz w:val="21"/>
                <w:szCs w:val="21"/>
              </w:rPr>
              <w:t>申报的住所（经营场所）已依法取得使用权，该房屋不属于违法建筑房屋、经政府有关部门认定存在安全隐患的建筑、被执行征收即将实施拆除的房屋，以及法律法规规定不得用于住所（经营场所）的其他建筑；</w:t>
            </w:r>
          </w:p>
          <w:p w14:paraId="4ED3E3F0">
            <w:pPr>
              <w:numPr>
                <w:ilvl w:val="0"/>
                <w:numId w:val="4"/>
              </w:numPr>
              <w:spacing w:line="260" w:lineRule="exact"/>
              <w:ind w:firstLine="412" w:firstLineChars="200"/>
              <w:rPr>
                <w:kern w:val="0"/>
                <w:sz w:val="21"/>
                <w:szCs w:val="21"/>
              </w:rPr>
            </w:pPr>
            <w:r>
              <w:rPr>
                <w:rFonts w:hint="eastAsia"/>
                <w:kern w:val="0"/>
                <w:sz w:val="21"/>
                <w:szCs w:val="21"/>
              </w:rPr>
              <w:t>在经营场所内不从事危害国家安全、存在严重安全隐患、影响人民身体健康、对环境造成污染以及国家法律法规规定不得开展的生产经营活动；</w:t>
            </w:r>
          </w:p>
          <w:p w14:paraId="00302476">
            <w:pPr>
              <w:numPr>
                <w:ilvl w:val="0"/>
                <w:numId w:val="4"/>
              </w:numPr>
              <w:spacing w:line="260" w:lineRule="exact"/>
              <w:ind w:firstLine="412" w:firstLineChars="200"/>
              <w:rPr>
                <w:sz w:val="21"/>
                <w:szCs w:val="21"/>
              </w:rPr>
            </w:pPr>
            <w:r>
              <w:rPr>
                <w:rFonts w:hint="eastAsia"/>
                <w:kern w:val="0"/>
                <w:sz w:val="21"/>
                <w:szCs w:val="21"/>
              </w:rPr>
              <w:t>申报的住所（经营场所）属于农村住宅的，已征得有利害关系的业主同意，不从事存在安全隐患、消防隐患、油烟污染、异味污染、废气污染、有毒有害气体排放、噪音污染以及违反治安管理的生产经营活动；如发生扰民或对安全造成不利影响，出现相关业主投诉的，自行与业主协商解决。协商不成的，无条件主动停止营业并办理住所（经营场所）变更登记，申请人自行承担由此产生的经济损失和法律后果；</w:t>
            </w:r>
          </w:p>
          <w:p w14:paraId="11C5536E">
            <w:pPr>
              <w:numPr>
                <w:ilvl w:val="0"/>
                <w:numId w:val="4"/>
              </w:numPr>
              <w:spacing w:line="260" w:lineRule="exact"/>
              <w:ind w:firstLine="412" w:firstLineChars="200"/>
              <w:rPr>
                <w:kern w:val="0"/>
                <w:sz w:val="21"/>
                <w:szCs w:val="21"/>
              </w:rPr>
            </w:pPr>
            <w:r>
              <w:rPr>
                <w:rFonts w:hint="eastAsia"/>
                <w:sz w:val="21"/>
                <w:szCs w:val="21"/>
              </w:rPr>
              <w:t>法律、法规规定应当经有关部门批准方可在住所（经营场所）从事相关经营活动的，承诺在取得有关许可证或批准文件后再开展经营活动。</w:t>
            </w:r>
          </w:p>
          <w:p w14:paraId="28C14BF3">
            <w:pPr>
              <w:spacing w:line="260" w:lineRule="exact"/>
              <w:ind w:firstLine="412" w:firstLineChars="200"/>
              <w:rPr>
                <w:kern w:val="0"/>
                <w:sz w:val="21"/>
                <w:szCs w:val="21"/>
              </w:rPr>
            </w:pPr>
            <w:r>
              <w:rPr>
                <w:rFonts w:hint="eastAsia"/>
                <w:kern w:val="0"/>
                <w:sz w:val="21"/>
                <w:szCs w:val="21"/>
              </w:rPr>
              <w:t>敬告：对未遵守上述承诺的，相关部门将依法予以查处。因不实承诺被撤销登记的企业依法列入严重违法失信企业名单，实施信用约束和部门联合惩戒，法定代表人（负责人）任职资格将受到限制。涉嫌犯罪的，依法移送司法机关。</w:t>
            </w:r>
          </w:p>
          <w:p w14:paraId="2CCFAC2D">
            <w:pPr>
              <w:spacing w:line="260" w:lineRule="exact"/>
              <w:ind w:firstLine="412" w:firstLineChars="200"/>
              <w:rPr>
                <w:kern w:val="0"/>
                <w:sz w:val="21"/>
                <w:szCs w:val="21"/>
              </w:rPr>
            </w:pPr>
          </w:p>
          <w:p w14:paraId="77CFDE0D">
            <w:pPr>
              <w:ind w:firstLine="6180" w:firstLineChars="3000"/>
              <w:rPr>
                <w:sz w:val="21"/>
                <w:szCs w:val="21"/>
              </w:rPr>
            </w:pPr>
            <w:r>
              <w:rPr>
                <w:sz w:val="21"/>
                <w:szCs w:val="21"/>
              </w:rPr>
              <w:t xml:space="preserve">申请人（签字或盖章）                                 </w:t>
            </w:r>
          </w:p>
          <w:p w14:paraId="1CAC4A39">
            <w:pPr>
              <w:rPr>
                <w:szCs w:val="21"/>
              </w:rPr>
            </w:pPr>
            <w:r>
              <w:rPr>
                <w:sz w:val="21"/>
                <w:szCs w:val="21"/>
              </w:rPr>
              <w:t xml:space="preserve"> </w:t>
            </w:r>
            <w:r>
              <w:rPr>
                <w:rFonts w:hint="eastAsia"/>
                <w:sz w:val="21"/>
                <w:szCs w:val="21"/>
              </w:rPr>
              <w:t xml:space="preserve">                                                             </w:t>
            </w:r>
            <w:r>
              <w:rPr>
                <w:sz w:val="21"/>
                <w:szCs w:val="21"/>
              </w:rPr>
              <w:t xml:space="preserve"> 年    月    日</w:t>
            </w:r>
            <w:r>
              <w:rPr>
                <w:szCs w:val="21"/>
              </w:rPr>
              <w:t xml:space="preserve">                                          </w:t>
            </w:r>
          </w:p>
        </w:tc>
      </w:tr>
    </w:tbl>
    <w:p w14:paraId="18DC2FC7">
      <w:pPr>
        <w:spacing w:line="300" w:lineRule="exact"/>
        <w:ind w:firstLine="412" w:firstLineChars="200"/>
        <w:jc w:val="left"/>
        <w:rPr>
          <w:sz w:val="21"/>
          <w:szCs w:val="21"/>
        </w:rPr>
      </w:pPr>
      <w:r>
        <w:rPr>
          <w:b/>
          <w:bCs/>
          <w:sz w:val="21"/>
          <w:szCs w:val="21"/>
        </w:rPr>
        <w:t>注：</w:t>
      </w:r>
      <w:r>
        <w:rPr>
          <w:rFonts w:hint="eastAsia"/>
          <w:sz w:val="21"/>
          <w:szCs w:val="21"/>
        </w:rPr>
        <w:t>1.</w:t>
      </w:r>
      <w:r>
        <w:rPr>
          <w:sz w:val="21"/>
          <w:szCs w:val="21"/>
        </w:rPr>
        <w:t>企业（除股份有限公司外）、农民专业合作社及其分支机构申请设立登记时，本承诺书由全体股东、合伙人、投资人或隶属企业</w:t>
      </w:r>
      <w:r>
        <w:rPr>
          <w:rFonts w:hint="eastAsia"/>
          <w:sz w:val="21"/>
          <w:szCs w:val="21"/>
        </w:rPr>
        <w:t>签字或盖章</w:t>
      </w:r>
      <w:r>
        <w:rPr>
          <w:sz w:val="21"/>
          <w:szCs w:val="21"/>
        </w:rPr>
        <w:t>；股份有限公司设立登记时，由全体董事签署</w:t>
      </w:r>
      <w:r>
        <w:rPr>
          <w:rFonts w:hint="eastAsia"/>
          <w:sz w:val="21"/>
          <w:szCs w:val="21"/>
        </w:rPr>
        <w:t>。</w:t>
      </w:r>
      <w:r>
        <w:rPr>
          <w:sz w:val="21"/>
          <w:szCs w:val="21"/>
        </w:rPr>
        <w:t>申请住所变更登记时，由企业、农民专业合作社及其分支机构加盖公章。</w:t>
      </w:r>
    </w:p>
    <w:p w14:paraId="6BBF0995">
      <w:pPr>
        <w:spacing w:line="300" w:lineRule="exact"/>
        <w:ind w:left="632" w:leftChars="200"/>
        <w:jc w:val="left"/>
      </w:pPr>
      <w:r>
        <w:rPr>
          <w:rFonts w:hint="eastAsia"/>
          <w:sz w:val="21"/>
          <w:szCs w:val="21"/>
        </w:rPr>
        <w:t>2.</w:t>
      </w:r>
      <w:r>
        <w:rPr>
          <w:sz w:val="21"/>
          <w:szCs w:val="21"/>
        </w:rPr>
        <w:t>个体工商户申请设立登记、经营场所变更登记时，由个体工商户经营者本人签字。</w:t>
      </w:r>
    </w:p>
    <w:p w14:paraId="69F6FC24"/>
    <w:p w14:paraId="25B45C18">
      <w:pPr>
        <w:spacing w:line="6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14:paraId="02D2B0C7">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市场主体住所（经营场所）禁设参考目录</w:t>
      </w:r>
    </w:p>
    <w:tbl>
      <w:tblPr>
        <w:tblStyle w:val="7"/>
        <w:tblW w:w="953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03"/>
        <w:gridCol w:w="1665"/>
        <w:gridCol w:w="4786"/>
        <w:gridCol w:w="2584"/>
      </w:tblGrid>
      <w:tr w14:paraId="0F434A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70" w:hRule="atLeast"/>
          <w:tblHeader/>
          <w:jc w:val="center"/>
        </w:trPr>
        <w:tc>
          <w:tcPr>
            <w:tcW w:w="503" w:type="dxa"/>
            <w:tcBorders>
              <w:top w:val="outset" w:color="000000" w:sz="6" w:space="0"/>
              <w:bottom w:val="outset" w:color="000000" w:sz="6" w:space="0"/>
              <w:right w:val="outset" w:color="000000" w:sz="6" w:space="0"/>
            </w:tcBorders>
            <w:vAlign w:val="center"/>
          </w:tcPr>
          <w:p w14:paraId="19BFE057">
            <w:pPr>
              <w:spacing w:line="2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665" w:type="dxa"/>
            <w:tcBorders>
              <w:top w:val="outset" w:color="000000" w:sz="6" w:space="0"/>
              <w:left w:val="outset" w:color="000000" w:sz="6" w:space="0"/>
              <w:bottom w:val="outset" w:color="000000" w:sz="6" w:space="0"/>
              <w:right w:val="outset" w:color="000000" w:sz="6" w:space="0"/>
            </w:tcBorders>
            <w:vAlign w:val="center"/>
          </w:tcPr>
          <w:p w14:paraId="502D2D7F">
            <w:pPr>
              <w:spacing w:line="2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经营项目</w:t>
            </w:r>
          </w:p>
        </w:tc>
        <w:tc>
          <w:tcPr>
            <w:tcW w:w="4786" w:type="dxa"/>
            <w:tcBorders>
              <w:top w:val="outset" w:color="000000" w:sz="6" w:space="0"/>
              <w:left w:val="outset" w:color="000000" w:sz="6" w:space="0"/>
              <w:bottom w:val="outset" w:color="000000" w:sz="6" w:space="0"/>
              <w:right w:val="outset" w:color="000000" w:sz="6" w:space="0"/>
            </w:tcBorders>
            <w:vAlign w:val="center"/>
          </w:tcPr>
          <w:p w14:paraId="0C9C2C68">
            <w:pPr>
              <w:spacing w:line="2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禁设区域</w:t>
            </w:r>
          </w:p>
        </w:tc>
        <w:tc>
          <w:tcPr>
            <w:tcW w:w="2584" w:type="dxa"/>
            <w:tcBorders>
              <w:top w:val="outset" w:color="000000" w:sz="6" w:space="0"/>
              <w:left w:val="outset" w:color="000000" w:sz="6" w:space="0"/>
              <w:bottom w:val="outset" w:color="000000" w:sz="6" w:space="0"/>
            </w:tcBorders>
            <w:vAlign w:val="center"/>
          </w:tcPr>
          <w:p w14:paraId="63C66D9B">
            <w:pPr>
              <w:spacing w:line="26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禁设依据</w:t>
            </w:r>
          </w:p>
        </w:tc>
      </w:tr>
      <w:tr w14:paraId="59995C0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5" w:hRule="atLeast"/>
          <w:jc w:val="center"/>
        </w:trPr>
        <w:tc>
          <w:tcPr>
            <w:tcW w:w="503" w:type="dxa"/>
            <w:tcBorders>
              <w:top w:val="outset" w:color="000000" w:sz="6" w:space="0"/>
              <w:bottom w:val="outset" w:color="000000" w:sz="6" w:space="0"/>
              <w:right w:val="outset" w:color="000000" w:sz="6" w:space="0"/>
            </w:tcBorders>
            <w:vAlign w:val="center"/>
          </w:tcPr>
          <w:p w14:paraId="7E2AEB51">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1</w:t>
            </w:r>
          </w:p>
        </w:tc>
        <w:tc>
          <w:tcPr>
            <w:tcW w:w="1665" w:type="dxa"/>
            <w:tcBorders>
              <w:top w:val="outset" w:color="000000" w:sz="6" w:space="0"/>
              <w:left w:val="outset" w:color="000000" w:sz="6" w:space="0"/>
              <w:bottom w:val="outset" w:color="000000" w:sz="6" w:space="0"/>
              <w:right w:val="outset" w:color="000000" w:sz="6" w:space="0"/>
            </w:tcBorders>
            <w:vAlign w:val="center"/>
          </w:tcPr>
          <w:p w14:paraId="7E9AE298">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全行业</w:t>
            </w:r>
          </w:p>
        </w:tc>
        <w:tc>
          <w:tcPr>
            <w:tcW w:w="4786" w:type="dxa"/>
            <w:tcBorders>
              <w:top w:val="outset" w:color="000000" w:sz="6" w:space="0"/>
              <w:left w:val="outset" w:color="000000" w:sz="6" w:space="0"/>
              <w:bottom w:val="outset" w:color="000000" w:sz="6" w:space="0"/>
              <w:right w:val="outset" w:color="000000" w:sz="6" w:space="0"/>
            </w:tcBorders>
            <w:vAlign w:val="center"/>
          </w:tcPr>
          <w:p w14:paraId="598991A1">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不得将违法建筑、经政府有关部门认定为有安全隐患的建筑、被征收房屋等作为住所申办登记</w:t>
            </w:r>
          </w:p>
        </w:tc>
        <w:tc>
          <w:tcPr>
            <w:tcW w:w="2584" w:type="dxa"/>
            <w:tcBorders>
              <w:top w:val="outset" w:color="000000" w:sz="6" w:space="0"/>
              <w:left w:val="outset" w:color="000000" w:sz="6" w:space="0"/>
              <w:bottom w:val="outset" w:color="000000" w:sz="6" w:space="0"/>
            </w:tcBorders>
            <w:vAlign w:val="center"/>
          </w:tcPr>
          <w:p w14:paraId="35186629">
            <w:pPr>
              <w:spacing w:line="260" w:lineRule="exact"/>
              <w:jc w:val="left"/>
              <w:rPr>
                <w:rFonts w:ascii="方正仿宋_GBK" w:hAnsi="方正仿宋_GBK" w:cs="方正仿宋_GBK"/>
                <w:sz w:val="21"/>
                <w:szCs w:val="21"/>
              </w:rPr>
            </w:pPr>
            <w:r>
              <w:rPr>
                <w:rFonts w:hint="eastAsia" w:ascii="方正仿宋_GBK" w:hAnsi="方正仿宋_GBK" w:cs="方正仿宋_GBK"/>
                <w:sz w:val="21"/>
                <w:szCs w:val="21"/>
              </w:rPr>
              <w:t>《国有土地上房屋征收</w:t>
            </w:r>
            <w:r>
              <w:rPr>
                <w:rFonts w:hint="eastAsia" w:ascii="方正仿宋_GBK" w:hAnsi="方正仿宋_GBK" w:cs="方正仿宋_GBK"/>
                <w:sz w:val="21"/>
                <w:szCs w:val="21"/>
                <w:lang w:val="en-US" w:eastAsia="zh-CN"/>
              </w:rPr>
              <w:t>与</w:t>
            </w:r>
            <w:r>
              <w:rPr>
                <w:rFonts w:hint="eastAsia" w:ascii="方正仿宋_GBK" w:hAnsi="方正仿宋_GBK" w:cs="方正仿宋_GBK"/>
                <w:sz w:val="21"/>
                <w:szCs w:val="21"/>
              </w:rPr>
              <w:t>补偿条例》第十六条、《重庆市查处违法建筑若干规定》第十八条</w:t>
            </w:r>
          </w:p>
        </w:tc>
      </w:tr>
      <w:tr w14:paraId="262F2DA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0" w:hRule="atLeast"/>
          <w:jc w:val="center"/>
        </w:trPr>
        <w:tc>
          <w:tcPr>
            <w:tcW w:w="503" w:type="dxa"/>
            <w:tcBorders>
              <w:top w:val="outset" w:color="000000" w:sz="6" w:space="0"/>
              <w:bottom w:val="outset" w:color="000000" w:sz="6" w:space="0"/>
              <w:right w:val="outset" w:color="000000" w:sz="6" w:space="0"/>
            </w:tcBorders>
            <w:vAlign w:val="center"/>
          </w:tcPr>
          <w:p w14:paraId="12BBE397">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2</w:t>
            </w:r>
          </w:p>
        </w:tc>
        <w:tc>
          <w:tcPr>
            <w:tcW w:w="1665" w:type="dxa"/>
            <w:tcBorders>
              <w:top w:val="outset" w:color="000000" w:sz="6" w:space="0"/>
              <w:left w:val="outset" w:color="000000" w:sz="6" w:space="0"/>
              <w:bottom w:val="outset" w:color="000000" w:sz="6" w:space="0"/>
              <w:right w:val="outset" w:color="000000" w:sz="6" w:space="0"/>
            </w:tcBorders>
            <w:vAlign w:val="center"/>
          </w:tcPr>
          <w:p w14:paraId="5B36126E">
            <w:pPr>
              <w:spacing w:line="260" w:lineRule="exact"/>
              <w:jc w:val="center"/>
              <w:rPr>
                <w:rFonts w:ascii="方正仿宋_GBK" w:hAnsi="方正仿宋_GBK" w:cs="方正仿宋_GBK"/>
                <w:sz w:val="21"/>
                <w:szCs w:val="21"/>
              </w:rPr>
            </w:pPr>
            <w:r>
              <w:rPr>
                <w:rFonts w:hint="eastAsia" w:ascii="方正仿宋_GBK" w:hAnsi="方正仿宋_GBK" w:cs="方正仿宋_GBK"/>
                <w:b/>
                <w:bCs/>
                <w:sz w:val="21"/>
                <w:szCs w:val="21"/>
              </w:rPr>
              <w:t>易燃易爆危险品生产、经营、储存</w:t>
            </w:r>
          </w:p>
        </w:tc>
        <w:tc>
          <w:tcPr>
            <w:tcW w:w="4786" w:type="dxa"/>
            <w:tcBorders>
              <w:top w:val="outset" w:color="000000" w:sz="6" w:space="0"/>
              <w:left w:val="outset" w:color="000000" w:sz="6" w:space="0"/>
              <w:bottom w:val="outset" w:color="000000" w:sz="6" w:space="0"/>
              <w:right w:val="outset" w:color="000000" w:sz="6" w:space="0"/>
            </w:tcBorders>
            <w:vAlign w:val="center"/>
          </w:tcPr>
          <w:p w14:paraId="771366DF">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生产、储存、经营易燃易爆危险品的场所不得与居住场所设置在同一建筑物内，并应当与居住场所保持安全距离。</w:t>
            </w:r>
          </w:p>
          <w:p w14:paraId="0A38F182">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生产、储存、经营其他物</w:t>
            </w:r>
            <w:bookmarkStart w:id="1" w:name="_GoBack"/>
            <w:bookmarkEnd w:id="1"/>
            <w:r>
              <w:rPr>
                <w:rFonts w:hint="eastAsia" w:ascii="方正仿宋_GBK" w:hAnsi="方正仿宋_GBK" w:cs="方正仿宋_GBK"/>
                <w:sz w:val="21"/>
                <w:szCs w:val="21"/>
              </w:rPr>
              <w:t>品的场所与居住场所设置在同一建筑物内的，应当符合国家工程建设消防技术标准。</w:t>
            </w:r>
          </w:p>
          <w:p w14:paraId="61A9CD6F">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top w:val="outset" w:color="000000" w:sz="6" w:space="0"/>
              <w:left w:val="outset" w:color="000000" w:sz="6" w:space="0"/>
              <w:bottom w:val="outset" w:color="000000" w:sz="6" w:space="0"/>
            </w:tcBorders>
            <w:vAlign w:val="center"/>
          </w:tcPr>
          <w:p w14:paraId="06437AAE">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《中华人民共和国消防法》第十九条</w:t>
            </w:r>
          </w:p>
        </w:tc>
      </w:tr>
      <w:tr w14:paraId="155260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503" w:type="dxa"/>
            <w:tcBorders>
              <w:top w:val="outset" w:color="000000" w:sz="6" w:space="0"/>
              <w:bottom w:val="outset" w:color="000000" w:sz="6" w:space="0"/>
              <w:right w:val="outset" w:color="000000" w:sz="6" w:space="0"/>
            </w:tcBorders>
            <w:vAlign w:val="center"/>
          </w:tcPr>
          <w:p w14:paraId="1168C2DA">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3</w:t>
            </w:r>
          </w:p>
        </w:tc>
        <w:tc>
          <w:tcPr>
            <w:tcW w:w="1665" w:type="dxa"/>
            <w:tcBorders>
              <w:top w:val="outset" w:color="000000" w:sz="6" w:space="0"/>
              <w:left w:val="outset" w:color="000000" w:sz="6" w:space="0"/>
              <w:bottom w:val="outset" w:color="000000" w:sz="6" w:space="0"/>
              <w:right w:val="outset" w:color="000000" w:sz="6" w:space="0"/>
            </w:tcBorders>
            <w:vAlign w:val="center"/>
          </w:tcPr>
          <w:p w14:paraId="2493D142">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生产、储存易燃、易爆、剧毒、放射性和腐蚀性物品</w:t>
            </w:r>
          </w:p>
        </w:tc>
        <w:tc>
          <w:tcPr>
            <w:tcW w:w="4786" w:type="dxa"/>
            <w:tcBorders>
              <w:top w:val="outset" w:color="000000" w:sz="6" w:space="0"/>
              <w:left w:val="outset" w:color="000000" w:sz="6" w:space="0"/>
              <w:bottom w:val="outset" w:color="000000" w:sz="6" w:space="0"/>
              <w:right w:val="outset" w:color="000000" w:sz="6" w:space="0"/>
            </w:tcBorders>
            <w:vAlign w:val="center"/>
          </w:tcPr>
          <w:p w14:paraId="13F94D9E">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任何组织或者个人不得进行影响人民防空工程使用或者降低人民防空工程防护能力的作业，不得向人民防空工程内排入废水、废气和倾倒废弃物，不得在人民防空工程内生产、存放易燃、易爆、剧毒、放射性和腐蚀性物品</w:t>
            </w:r>
          </w:p>
          <w:p w14:paraId="7C8E9532">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top w:val="outset" w:color="000000" w:sz="6" w:space="0"/>
              <w:left w:val="outset" w:color="000000" w:sz="6" w:space="0"/>
              <w:bottom w:val="outset" w:color="000000" w:sz="6" w:space="0"/>
            </w:tcBorders>
            <w:vAlign w:val="center"/>
          </w:tcPr>
          <w:p w14:paraId="307C4312">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《中华人民共和国人民防空法》第二十七条、《中华人民共和国消防法》第十九条</w:t>
            </w:r>
          </w:p>
        </w:tc>
      </w:tr>
      <w:tr w14:paraId="41FBED8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895" w:hRule="atLeast"/>
          <w:jc w:val="center"/>
        </w:trPr>
        <w:tc>
          <w:tcPr>
            <w:tcW w:w="503" w:type="dxa"/>
            <w:tcBorders>
              <w:top w:val="outset" w:color="000000" w:sz="6" w:space="0"/>
              <w:bottom w:val="outset" w:color="000000" w:sz="6" w:space="0"/>
              <w:right w:val="outset" w:color="000000" w:sz="6" w:space="0"/>
            </w:tcBorders>
            <w:vAlign w:val="center"/>
          </w:tcPr>
          <w:p w14:paraId="47A4A3D7">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4</w:t>
            </w:r>
          </w:p>
        </w:tc>
        <w:tc>
          <w:tcPr>
            <w:tcW w:w="1665" w:type="dxa"/>
            <w:tcBorders>
              <w:top w:val="outset" w:color="000000" w:sz="6" w:space="0"/>
              <w:left w:val="outset" w:color="000000" w:sz="6" w:space="0"/>
              <w:bottom w:val="outset" w:color="000000" w:sz="6" w:space="0"/>
              <w:right w:val="outset" w:color="000000" w:sz="6" w:space="0"/>
            </w:tcBorders>
            <w:vAlign w:val="center"/>
          </w:tcPr>
          <w:p w14:paraId="52EB96ED">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生产、经营和储存烟花爆竹</w:t>
            </w:r>
          </w:p>
        </w:tc>
        <w:tc>
          <w:tcPr>
            <w:tcW w:w="4786" w:type="dxa"/>
            <w:tcBorders>
              <w:top w:val="outset" w:color="000000" w:sz="6" w:space="0"/>
              <w:left w:val="outset" w:color="000000" w:sz="6" w:space="0"/>
              <w:bottom w:val="outset" w:color="000000" w:sz="6" w:space="0"/>
              <w:right w:val="outset" w:color="000000" w:sz="6" w:space="0"/>
            </w:tcBorders>
            <w:vAlign w:val="center"/>
          </w:tcPr>
          <w:p w14:paraId="2DFFCB70">
            <w:pPr>
              <w:spacing w:line="260" w:lineRule="exact"/>
              <w:rPr>
                <w:rFonts w:ascii="方正仿宋_GBK" w:hAnsi="方正仿宋_GBK" w:cs="方正仿宋_GBK"/>
                <w:sz w:val="21"/>
                <w:szCs w:val="21"/>
              </w:rPr>
            </w:pPr>
            <w:r>
              <w:rPr>
                <w:rFonts w:hint="eastAsia" w:ascii="方正仿宋_GBK" w:hAnsi="方正仿宋_GBK" w:cs="方正仿宋_GBK"/>
                <w:sz w:val="21"/>
                <w:szCs w:val="21"/>
              </w:rPr>
              <w:t>在禁放区域和场所内，禁止生产、经营和储存烟花爆竹</w:t>
            </w:r>
          </w:p>
          <w:p w14:paraId="5721FFC0">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top w:val="outset" w:color="000000" w:sz="6" w:space="0"/>
              <w:left w:val="outset" w:color="000000" w:sz="6" w:space="0"/>
              <w:bottom w:val="outset" w:color="000000" w:sz="6" w:space="0"/>
            </w:tcBorders>
            <w:vAlign w:val="center"/>
          </w:tcPr>
          <w:p w14:paraId="378AEB1B">
            <w:pPr>
              <w:spacing w:line="260" w:lineRule="exact"/>
              <w:rPr>
                <w:rFonts w:ascii="方正仿宋_GBK" w:hAnsi="方正仿宋_GBK" w:cs="方正仿宋_GBK"/>
                <w:sz w:val="21"/>
                <w:szCs w:val="21"/>
              </w:rPr>
            </w:pPr>
            <w:r>
              <w:rPr>
                <w:rFonts w:hint="eastAsia" w:ascii="方正仿宋_GBK" w:hAnsi="方正仿宋_GBK" w:cs="方正仿宋_GBK"/>
                <w:sz w:val="21"/>
                <w:szCs w:val="21"/>
              </w:rPr>
              <w:t>《重庆市燃放烟花爆竹管理条例》第五条、第七条，《中华人民共和国消防法》第十九条</w:t>
            </w:r>
          </w:p>
        </w:tc>
      </w:tr>
      <w:tr w14:paraId="6BCD90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665" w:hRule="atLeast"/>
          <w:jc w:val="center"/>
        </w:trPr>
        <w:tc>
          <w:tcPr>
            <w:tcW w:w="503" w:type="dxa"/>
            <w:tcBorders>
              <w:top w:val="outset" w:color="000000" w:sz="6" w:space="0"/>
              <w:bottom w:val="outset" w:color="000000" w:sz="6" w:space="0"/>
              <w:right w:val="outset" w:color="000000" w:sz="6" w:space="0"/>
            </w:tcBorders>
            <w:vAlign w:val="center"/>
          </w:tcPr>
          <w:p w14:paraId="525F51C5">
            <w:pPr>
              <w:spacing w:line="260" w:lineRule="exact"/>
              <w:jc w:val="center"/>
              <w:rPr>
                <w:rFonts w:ascii="方正仿宋_GBK" w:hAnsi="方正仿宋_GBK" w:cs="方正仿宋_GBK"/>
                <w:b/>
                <w:bCs/>
                <w:sz w:val="21"/>
                <w:szCs w:val="21"/>
              </w:rPr>
            </w:pPr>
            <w:r>
              <w:rPr>
                <w:rFonts w:hint="eastAsia" w:ascii="方正仿宋_GBK" w:hAnsi="方正仿宋_GBK" w:cs="方正仿宋_GBK"/>
                <w:sz w:val="21"/>
                <w:szCs w:val="21"/>
              </w:rPr>
              <w:t>5</w:t>
            </w:r>
          </w:p>
        </w:tc>
        <w:tc>
          <w:tcPr>
            <w:tcW w:w="1665" w:type="dxa"/>
            <w:tcBorders>
              <w:top w:val="single" w:color="auto" w:sz="4" w:space="0"/>
              <w:left w:val="outset" w:color="000000" w:sz="6" w:space="0"/>
              <w:bottom w:val="outset" w:color="000000" w:sz="6" w:space="0"/>
              <w:right w:val="outset" w:color="000000" w:sz="6" w:space="0"/>
            </w:tcBorders>
            <w:vAlign w:val="center"/>
          </w:tcPr>
          <w:p w14:paraId="089F230C">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歌舞娱乐场所、游艺娱乐场所</w:t>
            </w:r>
          </w:p>
        </w:tc>
        <w:tc>
          <w:tcPr>
            <w:tcW w:w="4786" w:type="dxa"/>
            <w:tcBorders>
              <w:left w:val="outset" w:color="000000" w:sz="6" w:space="0"/>
              <w:bottom w:val="single" w:color="auto" w:sz="4" w:space="0"/>
              <w:right w:val="outset" w:color="000000" w:sz="6" w:space="0"/>
            </w:tcBorders>
            <w:vAlign w:val="center"/>
          </w:tcPr>
          <w:p w14:paraId="49E8E4AD">
            <w:pPr>
              <w:spacing w:line="240" w:lineRule="exact"/>
              <w:rPr>
                <w:rFonts w:ascii="方正仿宋_GBK" w:hAnsi="方正仿宋_GBK" w:cs="方正仿宋_GBK"/>
                <w:sz w:val="21"/>
                <w:szCs w:val="21"/>
              </w:rPr>
            </w:pPr>
            <w:r>
              <w:rPr>
                <w:rFonts w:hint="eastAsia" w:ascii="方正仿宋_GBK" w:hAnsi="方正仿宋_GBK" w:cs="方正仿宋_GBK"/>
                <w:sz w:val="21"/>
                <w:szCs w:val="21"/>
              </w:rPr>
              <w:t>娱乐场所不得设立在下列地点：</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（一）房屋用途中含有住宅的建筑内；</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（二）博物馆、图书馆和被核定为文物保护单位的建筑物内；</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（三）居民住宅区；</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（四）教育法规定的中小学校周围；</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（五）依照《医疗机构管理条例》及实施细则规定取得《医疗机构执业许可证》的医院周围；</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（六）各级中国共产党委员会及其所属各工作部门、各级人民代表大会机关、各级人民政府及其所属各工作部门、各级政治协商会议机关、各级人民法院、检察院机关、各级民主党派机关周围；</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（七）车站、机场等人群密集的场所；</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（八）建筑物地下一层以下（不含地下一层）；</w:t>
            </w:r>
            <w:r>
              <w:rPr>
                <w:rFonts w:hint="eastAsia" w:ascii="方正仿宋_GBK" w:hAnsi="方正仿宋_GBK" w:cs="方正仿宋_GBK"/>
                <w:sz w:val="21"/>
                <w:szCs w:val="21"/>
              </w:rPr>
              <w:br w:type="textWrapping"/>
            </w:r>
            <w:r>
              <w:rPr>
                <w:rFonts w:hint="eastAsia" w:ascii="方正仿宋_GBK" w:hAnsi="方正仿宋_GBK" w:cs="方正仿宋_GBK"/>
                <w:sz w:val="21"/>
                <w:szCs w:val="21"/>
              </w:rPr>
              <w:t>（九）与危险化学品仓库毗连的区域，与危险化学品仓库的距离必须符合《危险化学品安全管理条例》的有关规定。</w:t>
            </w:r>
          </w:p>
          <w:p w14:paraId="2F8851AB">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left w:val="outset" w:color="000000" w:sz="6" w:space="0"/>
              <w:bottom w:val="outset" w:color="000000" w:sz="6" w:space="0"/>
            </w:tcBorders>
            <w:vAlign w:val="center"/>
          </w:tcPr>
          <w:p w14:paraId="3F4078F9">
            <w:pPr>
              <w:spacing w:line="260" w:lineRule="exact"/>
              <w:rPr>
                <w:rFonts w:ascii="方正仿宋_GBK" w:hAnsi="方正仿宋_GBK" w:cs="方正仿宋_GBK"/>
                <w:sz w:val="21"/>
                <w:szCs w:val="21"/>
              </w:rPr>
            </w:pPr>
            <w:r>
              <w:rPr>
                <w:rFonts w:hint="eastAsia" w:ascii="方正仿宋_GBK" w:hAnsi="方正仿宋_GBK" w:cs="方正仿宋_GBK"/>
                <w:sz w:val="21"/>
                <w:szCs w:val="21"/>
              </w:rPr>
              <w:t>《娱乐场所管理条例》第七条、《娱乐场所管理办法》第六条</w:t>
            </w:r>
          </w:p>
          <w:p w14:paraId="3212CEED">
            <w:pPr>
              <w:spacing w:line="260" w:lineRule="exact"/>
              <w:rPr>
                <w:rFonts w:ascii="方正仿宋_GBK" w:hAnsi="方正仿宋_GBK" w:cs="方正仿宋_GBK"/>
                <w:sz w:val="21"/>
                <w:szCs w:val="21"/>
              </w:rPr>
            </w:pPr>
          </w:p>
        </w:tc>
      </w:tr>
      <w:tr w14:paraId="0667BB9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850" w:hRule="atLeast"/>
          <w:jc w:val="center"/>
        </w:trPr>
        <w:tc>
          <w:tcPr>
            <w:tcW w:w="503" w:type="dxa"/>
            <w:tcBorders>
              <w:top w:val="outset" w:color="000000" w:sz="6" w:space="0"/>
              <w:bottom w:val="outset" w:color="000000" w:sz="6" w:space="0"/>
              <w:right w:val="outset" w:color="000000" w:sz="6" w:space="0"/>
            </w:tcBorders>
            <w:vAlign w:val="center"/>
          </w:tcPr>
          <w:p w14:paraId="414FD455">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6</w:t>
            </w:r>
          </w:p>
        </w:tc>
        <w:tc>
          <w:tcPr>
            <w:tcW w:w="1665" w:type="dxa"/>
            <w:tcBorders>
              <w:top w:val="single" w:color="auto" w:sz="4" w:space="0"/>
              <w:left w:val="outset" w:color="000000" w:sz="6" w:space="0"/>
              <w:bottom w:val="outset" w:color="000000" w:sz="6" w:space="0"/>
              <w:right w:val="outset" w:color="000000" w:sz="6" w:space="0"/>
            </w:tcBorders>
            <w:vAlign w:val="center"/>
          </w:tcPr>
          <w:p w14:paraId="0B9ACF2B">
            <w:pPr>
              <w:adjustRightInd w:val="0"/>
              <w:snapToGrid w:val="0"/>
              <w:jc w:val="center"/>
              <w:rPr>
                <w:rFonts w:ascii="方正仿宋_GBK" w:hAnsi="方正仿宋_GBK" w:cs="方正仿宋_GBK"/>
                <w:b/>
                <w:bCs/>
                <w:sz w:val="21"/>
                <w:szCs w:val="21"/>
              </w:rPr>
            </w:pPr>
            <w:r>
              <w:rPr>
                <w:rFonts w:hint="eastAsia" w:ascii="方正仿宋_GBK" w:hAnsi="方正仿宋_GBK" w:cs="方正仿宋_GBK"/>
                <w:b/>
                <w:bCs/>
                <w:sz w:val="21"/>
                <w:szCs w:val="21"/>
              </w:rPr>
              <w:t>互联网上网服务</w:t>
            </w:r>
          </w:p>
        </w:tc>
        <w:tc>
          <w:tcPr>
            <w:tcW w:w="4786" w:type="dxa"/>
            <w:tcBorders>
              <w:left w:val="outset" w:color="000000" w:sz="6" w:space="0"/>
              <w:bottom w:val="single" w:color="auto" w:sz="4" w:space="0"/>
              <w:right w:val="outset" w:color="000000" w:sz="6" w:space="0"/>
            </w:tcBorders>
            <w:vAlign w:val="center"/>
          </w:tcPr>
          <w:p w14:paraId="5D23BE25">
            <w:pPr>
              <w:spacing w:line="260" w:lineRule="exact"/>
              <w:rPr>
                <w:rFonts w:ascii="方正仿宋_GBK" w:hAnsi="方正仿宋_GBK" w:cs="方正仿宋_GBK"/>
                <w:sz w:val="21"/>
                <w:szCs w:val="21"/>
              </w:rPr>
            </w:pPr>
            <w:r>
              <w:rPr>
                <w:rFonts w:hint="eastAsia" w:ascii="方正仿宋_GBK" w:hAnsi="方正仿宋_GBK" w:cs="方正仿宋_GBK"/>
                <w:sz w:val="21"/>
                <w:szCs w:val="21"/>
              </w:rPr>
              <w:t>学校、幼儿园周边不得设置营业性娱乐场所、酒吧、互联网上网服务营业场所等不适宜未成年人活动的场所。</w:t>
            </w:r>
          </w:p>
          <w:p w14:paraId="0FBF2C5E">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中学、小学校园周围200米范围内和居民住宅楼(院)内不得设立互联网上网服务营业场所。</w:t>
            </w:r>
          </w:p>
          <w:p w14:paraId="232CA53B">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left w:val="outset" w:color="000000" w:sz="6" w:space="0"/>
              <w:bottom w:val="outset" w:color="000000" w:sz="6" w:space="0"/>
            </w:tcBorders>
            <w:vAlign w:val="center"/>
          </w:tcPr>
          <w:p w14:paraId="0940B467">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《中华人民共和国未成年人保护法》第五十八条、《互联网上网服务营业场所管理条例》第九条</w:t>
            </w:r>
          </w:p>
        </w:tc>
      </w:tr>
      <w:tr w14:paraId="6AF6C84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433" w:hRule="atLeast"/>
          <w:jc w:val="center"/>
        </w:trPr>
        <w:tc>
          <w:tcPr>
            <w:tcW w:w="503" w:type="dxa"/>
            <w:tcBorders>
              <w:top w:val="outset" w:color="000000" w:sz="6" w:space="0"/>
              <w:bottom w:val="outset" w:color="000000" w:sz="6" w:space="0"/>
              <w:right w:val="outset" w:color="000000" w:sz="6" w:space="0"/>
            </w:tcBorders>
            <w:vAlign w:val="center"/>
          </w:tcPr>
          <w:p w14:paraId="2FE2613E">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7</w:t>
            </w:r>
          </w:p>
        </w:tc>
        <w:tc>
          <w:tcPr>
            <w:tcW w:w="1665" w:type="dxa"/>
            <w:tcBorders>
              <w:top w:val="outset" w:color="000000" w:sz="6" w:space="0"/>
              <w:left w:val="outset" w:color="000000" w:sz="6" w:space="0"/>
              <w:bottom w:val="outset" w:color="000000" w:sz="6" w:space="0"/>
              <w:right w:val="outset" w:color="000000" w:sz="6" w:space="0"/>
            </w:tcBorders>
            <w:vAlign w:val="center"/>
          </w:tcPr>
          <w:p w14:paraId="3A5B0FF6">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餐饮服务</w:t>
            </w:r>
          </w:p>
        </w:tc>
        <w:tc>
          <w:tcPr>
            <w:tcW w:w="4786" w:type="dxa"/>
            <w:tcBorders>
              <w:top w:val="single" w:color="auto" w:sz="4" w:space="0"/>
              <w:left w:val="outset" w:color="000000" w:sz="6" w:space="0"/>
              <w:bottom w:val="outset" w:color="000000" w:sz="6" w:space="0"/>
              <w:right w:val="outset" w:color="000000" w:sz="6" w:space="0"/>
            </w:tcBorders>
            <w:vAlign w:val="center"/>
          </w:tcPr>
          <w:p w14:paraId="0967500A">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禁止在居民住宅楼、未配套设立专用烟道的商住综合楼以及商住综合楼内与居住层相邻的商业楼层内新建、改建、扩建产生油烟、异味、废气的餐饮服务项目</w:t>
            </w:r>
          </w:p>
          <w:p w14:paraId="3EBD1290">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*禁止将城镇住宅作为住所登记</w:t>
            </w:r>
          </w:p>
        </w:tc>
        <w:tc>
          <w:tcPr>
            <w:tcW w:w="2584" w:type="dxa"/>
            <w:tcBorders>
              <w:top w:val="outset" w:color="000000" w:sz="6" w:space="0"/>
              <w:left w:val="outset" w:color="000000" w:sz="6" w:space="0"/>
              <w:bottom w:val="outset" w:color="000000" w:sz="6" w:space="0"/>
            </w:tcBorders>
            <w:vAlign w:val="center"/>
          </w:tcPr>
          <w:p w14:paraId="7866F793">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《中华人民共和国大气污染防治法》第八十一条</w:t>
            </w:r>
          </w:p>
        </w:tc>
      </w:tr>
      <w:tr w14:paraId="32A8DA3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890" w:hRule="atLeast"/>
          <w:jc w:val="center"/>
        </w:trPr>
        <w:tc>
          <w:tcPr>
            <w:tcW w:w="503" w:type="dxa"/>
            <w:tcBorders>
              <w:top w:val="outset" w:color="000000" w:sz="6" w:space="0"/>
              <w:bottom w:val="outset" w:color="000000" w:sz="6" w:space="0"/>
              <w:right w:val="outset" w:color="000000" w:sz="6" w:space="0"/>
            </w:tcBorders>
            <w:vAlign w:val="center"/>
          </w:tcPr>
          <w:p w14:paraId="0B0CD2B2">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8</w:t>
            </w:r>
          </w:p>
        </w:tc>
        <w:tc>
          <w:tcPr>
            <w:tcW w:w="1665" w:type="dxa"/>
            <w:tcBorders>
              <w:top w:val="outset" w:color="000000" w:sz="6" w:space="0"/>
              <w:left w:val="outset" w:color="000000" w:sz="6" w:space="0"/>
              <w:bottom w:val="outset" w:color="000000" w:sz="6" w:space="0"/>
              <w:right w:val="outset" w:color="000000" w:sz="6" w:space="0"/>
            </w:tcBorders>
            <w:vAlign w:val="center"/>
          </w:tcPr>
          <w:p w14:paraId="65E71751">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加工服务、服装干洗、机动车维修</w:t>
            </w:r>
          </w:p>
        </w:tc>
        <w:tc>
          <w:tcPr>
            <w:tcW w:w="4786" w:type="dxa"/>
            <w:tcBorders>
              <w:top w:val="outset" w:color="000000" w:sz="6" w:space="0"/>
              <w:left w:val="outset" w:color="000000" w:sz="6" w:space="0"/>
              <w:bottom w:val="outset" w:color="000000" w:sz="6" w:space="0"/>
              <w:right w:val="outset" w:color="000000" w:sz="6" w:space="0"/>
            </w:tcBorders>
            <w:vAlign w:val="center"/>
          </w:tcPr>
          <w:p w14:paraId="570F34F0">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禁止在下列地点新建、改建、扩建产生油烟、异味、废气的餐饮服务、加工服务、服装干洗、机动车维修等项目：</w:t>
            </w:r>
          </w:p>
          <w:p w14:paraId="329BD554">
            <w:pPr>
              <w:numPr>
                <w:ilvl w:val="0"/>
                <w:numId w:val="5"/>
              </w:numPr>
              <w:spacing w:line="240" w:lineRule="exact"/>
              <w:rPr>
                <w:rFonts w:ascii="方正仿宋_GBK" w:hAnsi="方正仿宋_GBK" w:cs="方正仿宋_GBK"/>
                <w:sz w:val="21"/>
                <w:szCs w:val="21"/>
              </w:rPr>
            </w:pPr>
            <w:r>
              <w:rPr>
                <w:rFonts w:hint="eastAsia" w:ascii="方正仿宋_GBK" w:hAnsi="方正仿宋_GBK" w:cs="方正仿宋_GBK"/>
                <w:sz w:val="21"/>
                <w:szCs w:val="21"/>
              </w:rPr>
              <w:t>居民住宅楼</w:t>
            </w:r>
          </w:p>
          <w:p w14:paraId="74424BD6">
            <w:pPr>
              <w:numPr>
                <w:ilvl w:val="0"/>
                <w:numId w:val="5"/>
              </w:numPr>
              <w:spacing w:line="240" w:lineRule="exact"/>
              <w:rPr>
                <w:rFonts w:ascii="方正仿宋_GBK" w:hAnsi="方正仿宋_GBK" w:cs="方正仿宋_GBK"/>
                <w:sz w:val="21"/>
                <w:szCs w:val="21"/>
              </w:rPr>
            </w:pPr>
            <w:r>
              <w:rPr>
                <w:rFonts w:hint="eastAsia" w:ascii="方正仿宋_GBK" w:hAnsi="方正仿宋_GBK" w:cs="方正仿宋_GBK"/>
                <w:sz w:val="21"/>
                <w:szCs w:val="21"/>
              </w:rPr>
              <w:t>未配套设立专用烟道的商住综合楼</w:t>
            </w:r>
          </w:p>
          <w:p w14:paraId="2E172933">
            <w:pPr>
              <w:numPr>
                <w:ilvl w:val="0"/>
                <w:numId w:val="5"/>
              </w:numPr>
              <w:spacing w:line="240" w:lineRule="exact"/>
              <w:rPr>
                <w:rFonts w:ascii="方正仿宋_GBK" w:hAnsi="方正仿宋_GBK" w:cs="方正仿宋_GBK"/>
                <w:sz w:val="21"/>
                <w:szCs w:val="21"/>
              </w:rPr>
            </w:pPr>
            <w:r>
              <w:rPr>
                <w:rFonts w:hint="eastAsia" w:ascii="方正仿宋_GBK" w:hAnsi="方正仿宋_GBK" w:cs="方正仿宋_GBK"/>
                <w:sz w:val="21"/>
                <w:szCs w:val="21"/>
              </w:rPr>
              <w:t>商住综合楼内与居住层相邻的商业楼层</w:t>
            </w:r>
          </w:p>
          <w:p w14:paraId="0E084CFA">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*禁止将城镇住宅作为住所登记</w:t>
            </w:r>
          </w:p>
        </w:tc>
        <w:tc>
          <w:tcPr>
            <w:tcW w:w="2584" w:type="dxa"/>
            <w:tcBorders>
              <w:top w:val="outset" w:color="000000" w:sz="6" w:space="0"/>
              <w:left w:val="outset" w:color="000000" w:sz="6" w:space="0"/>
              <w:bottom w:val="outset" w:color="000000" w:sz="6" w:space="0"/>
            </w:tcBorders>
            <w:vAlign w:val="center"/>
          </w:tcPr>
          <w:p w14:paraId="54E239FA">
            <w:pPr>
              <w:spacing w:line="260" w:lineRule="exact"/>
              <w:rPr>
                <w:rFonts w:ascii="方正仿宋_GBK" w:hAnsi="方正仿宋_GBK" w:cs="方正仿宋_GBK"/>
                <w:sz w:val="21"/>
                <w:szCs w:val="21"/>
              </w:rPr>
            </w:pPr>
            <w:r>
              <w:rPr>
                <w:rFonts w:hint="eastAsia" w:ascii="方正仿宋_GBK" w:hAnsi="方正仿宋_GBK" w:cs="方正仿宋_GBK"/>
                <w:sz w:val="21"/>
                <w:szCs w:val="21"/>
              </w:rPr>
              <w:t>《重庆市大气污染防治条例》第六十三条</w:t>
            </w:r>
          </w:p>
        </w:tc>
      </w:tr>
      <w:tr w14:paraId="074E2E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2060" w:hRule="atLeast"/>
          <w:jc w:val="center"/>
        </w:trPr>
        <w:tc>
          <w:tcPr>
            <w:tcW w:w="503" w:type="dxa"/>
            <w:tcBorders>
              <w:top w:val="outset" w:color="000000" w:sz="6" w:space="0"/>
              <w:bottom w:val="outset" w:color="000000" w:sz="6" w:space="0"/>
              <w:right w:val="outset" w:color="000000" w:sz="6" w:space="0"/>
            </w:tcBorders>
            <w:vAlign w:val="center"/>
          </w:tcPr>
          <w:p w14:paraId="75AABD5E">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9</w:t>
            </w:r>
          </w:p>
        </w:tc>
        <w:tc>
          <w:tcPr>
            <w:tcW w:w="1665" w:type="dxa"/>
            <w:tcBorders>
              <w:top w:val="outset" w:color="000000" w:sz="6" w:space="0"/>
              <w:left w:val="outset" w:color="000000" w:sz="6" w:space="0"/>
              <w:bottom w:val="outset" w:color="000000" w:sz="6" w:space="0"/>
              <w:right w:val="outset" w:color="000000" w:sz="6" w:space="0"/>
            </w:tcBorders>
            <w:vAlign w:val="center"/>
          </w:tcPr>
          <w:p w14:paraId="35B94E37">
            <w:pPr>
              <w:spacing w:line="26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畜禽规模养殖</w:t>
            </w:r>
          </w:p>
        </w:tc>
        <w:tc>
          <w:tcPr>
            <w:tcW w:w="4786" w:type="dxa"/>
            <w:tcBorders>
              <w:top w:val="outset" w:color="000000" w:sz="6" w:space="0"/>
              <w:left w:val="outset" w:color="000000" w:sz="6" w:space="0"/>
              <w:bottom w:val="outset" w:color="000000" w:sz="6" w:space="0"/>
              <w:right w:val="outset" w:color="000000" w:sz="6" w:space="0"/>
            </w:tcBorders>
            <w:vAlign w:val="center"/>
          </w:tcPr>
          <w:p w14:paraId="68F6BF1A">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禁止在下列区域内建设畜禽养殖场、养殖小区：</w:t>
            </w:r>
          </w:p>
          <w:p w14:paraId="356DD349">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（一）饮用水水源保护区，风景名胜区；</w:t>
            </w:r>
          </w:p>
          <w:p w14:paraId="369E1E9A">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（二）自然保护区的核心区和缓冲区；</w:t>
            </w:r>
          </w:p>
          <w:p w14:paraId="573D4C83">
            <w:pPr>
              <w:spacing w:line="260" w:lineRule="exact"/>
              <w:rPr>
                <w:rFonts w:ascii="方正仿宋_GBK" w:hAnsi="方正仿宋_GBK" w:cs="方正仿宋_GBK"/>
                <w:sz w:val="21"/>
                <w:szCs w:val="21"/>
              </w:rPr>
            </w:pPr>
            <w:r>
              <w:rPr>
                <w:rFonts w:hint="eastAsia" w:ascii="方正仿宋_GBK" w:hAnsi="方正仿宋_GBK" w:cs="方正仿宋_GBK"/>
                <w:sz w:val="21"/>
                <w:szCs w:val="21"/>
              </w:rPr>
              <w:t>（三）城镇居民区、文化教育科学研究区等人口集中区域；</w:t>
            </w:r>
          </w:p>
          <w:p w14:paraId="7B8197B6">
            <w:pPr>
              <w:spacing w:line="260" w:lineRule="exact"/>
              <w:rPr>
                <w:rFonts w:ascii="方正仿宋_GBK" w:hAnsi="方正仿宋_GBK" w:cs="方正仿宋_GBK"/>
                <w:sz w:val="21"/>
                <w:szCs w:val="21"/>
              </w:rPr>
            </w:pPr>
            <w:r>
              <w:rPr>
                <w:rFonts w:hint="eastAsia" w:ascii="方正仿宋_GBK" w:hAnsi="方正仿宋_GBK" w:cs="方正仿宋_GBK"/>
                <w:sz w:val="21"/>
                <w:szCs w:val="21"/>
              </w:rPr>
              <w:t>（四）法律、法规规定的其他禁止养殖区域。</w:t>
            </w:r>
          </w:p>
          <w:p w14:paraId="644D7746">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*禁止将城镇住宅作为住所登记</w:t>
            </w:r>
          </w:p>
        </w:tc>
        <w:tc>
          <w:tcPr>
            <w:tcW w:w="2584" w:type="dxa"/>
            <w:tcBorders>
              <w:top w:val="outset" w:color="000000" w:sz="6" w:space="0"/>
              <w:left w:val="outset" w:color="000000" w:sz="6" w:space="0"/>
              <w:bottom w:val="outset" w:color="000000" w:sz="6" w:space="0"/>
            </w:tcBorders>
            <w:vAlign w:val="center"/>
          </w:tcPr>
          <w:p w14:paraId="2061B0C9">
            <w:pPr>
              <w:spacing w:line="260" w:lineRule="exact"/>
              <w:rPr>
                <w:rFonts w:ascii="方正仿宋_GBK" w:hAnsi="方正仿宋_GBK" w:cs="方正仿宋_GBK"/>
                <w:sz w:val="21"/>
                <w:szCs w:val="21"/>
              </w:rPr>
            </w:pPr>
            <w:r>
              <w:rPr>
                <w:rFonts w:hint="eastAsia" w:ascii="方正仿宋_GBK" w:hAnsi="方正仿宋_GBK" w:cs="方正仿宋_GBK"/>
                <w:sz w:val="21"/>
                <w:szCs w:val="21"/>
              </w:rPr>
              <w:t>《畜禽规模养殖污染防治条例》第十一条</w:t>
            </w:r>
          </w:p>
        </w:tc>
      </w:tr>
      <w:tr w14:paraId="6597F42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2595" w:hRule="atLeast"/>
          <w:jc w:val="center"/>
        </w:trPr>
        <w:tc>
          <w:tcPr>
            <w:tcW w:w="503" w:type="dxa"/>
            <w:tcBorders>
              <w:top w:val="outset" w:color="000000" w:sz="6" w:space="0"/>
              <w:bottom w:val="outset" w:color="000000" w:sz="6" w:space="0"/>
              <w:right w:val="outset" w:color="000000" w:sz="6" w:space="0"/>
            </w:tcBorders>
            <w:vAlign w:val="center"/>
          </w:tcPr>
          <w:p w14:paraId="2DD1E299">
            <w:pPr>
              <w:spacing w:line="240" w:lineRule="exact"/>
              <w:jc w:val="center"/>
              <w:rPr>
                <w:rFonts w:ascii="方正仿宋_GBK" w:hAnsi="方正仿宋_GBK" w:cs="方正仿宋_GBK"/>
                <w:sz w:val="21"/>
                <w:szCs w:val="21"/>
              </w:rPr>
            </w:pPr>
            <w:r>
              <w:rPr>
                <w:rFonts w:hint="eastAsia" w:ascii="方正仿宋_GBK" w:hAnsi="方正仿宋_GBK" w:cs="方正仿宋_GBK"/>
                <w:sz w:val="21"/>
                <w:szCs w:val="21"/>
              </w:rPr>
              <w:t>10</w:t>
            </w:r>
          </w:p>
        </w:tc>
        <w:tc>
          <w:tcPr>
            <w:tcW w:w="1665" w:type="dxa"/>
            <w:tcBorders>
              <w:top w:val="outset" w:color="000000" w:sz="6" w:space="0"/>
              <w:left w:val="outset" w:color="000000" w:sz="6" w:space="0"/>
              <w:bottom w:val="outset" w:color="000000" w:sz="6" w:space="0"/>
              <w:right w:val="outset" w:color="000000" w:sz="6" w:space="0"/>
            </w:tcBorders>
            <w:vAlign w:val="center"/>
          </w:tcPr>
          <w:p w14:paraId="1BB714B7">
            <w:pPr>
              <w:spacing w:line="24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粮油仓储</w:t>
            </w:r>
          </w:p>
        </w:tc>
        <w:tc>
          <w:tcPr>
            <w:tcW w:w="4786" w:type="dxa"/>
            <w:tcBorders>
              <w:top w:val="outset" w:color="000000" w:sz="6" w:space="0"/>
              <w:left w:val="outset" w:color="000000" w:sz="6" w:space="0"/>
              <w:bottom w:val="outset" w:color="000000" w:sz="6" w:space="0"/>
              <w:right w:val="outset" w:color="000000" w:sz="6" w:space="0"/>
            </w:tcBorders>
            <w:vAlign w:val="center"/>
          </w:tcPr>
          <w:p w14:paraId="2460E824">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粮油仓储单位的固定经营场地至污染源、危险源的距离应当满足以下要求：</w:t>
            </w:r>
          </w:p>
          <w:p w14:paraId="510CCD12">
            <w:pPr>
              <w:spacing w:line="240" w:lineRule="exact"/>
              <w:rPr>
                <w:rFonts w:ascii="方正仿宋_GBK" w:hAnsi="方正仿宋_GBK" w:cs="方正仿宋_GBK"/>
                <w:sz w:val="21"/>
                <w:szCs w:val="21"/>
              </w:rPr>
            </w:pPr>
            <w:r>
              <w:rPr>
                <w:rFonts w:hint="eastAsia" w:ascii="方正仿宋_GBK" w:hAnsi="方正仿宋_GBK" w:cs="方正仿宋_GBK"/>
                <w:sz w:val="21"/>
                <w:szCs w:val="21"/>
              </w:rPr>
              <w:t>（一）距有害元素的矿山、炼焦、炼油、煤气、化工（包括有毒化合物的生产）、塑料、橡胶制品及加工、人造纤维、油漆、农药、化肥等排放有毒气体的生产单位，不小于1000米；</w:t>
            </w:r>
          </w:p>
          <w:p w14:paraId="0FCB0E1F">
            <w:pPr>
              <w:spacing w:line="240" w:lineRule="exact"/>
              <w:rPr>
                <w:rFonts w:ascii="方正仿宋_GBK" w:hAnsi="方正仿宋_GBK" w:cs="方正仿宋_GBK"/>
                <w:spacing w:val="-8"/>
                <w:sz w:val="21"/>
                <w:szCs w:val="21"/>
              </w:rPr>
            </w:pPr>
            <w:r>
              <w:rPr>
                <w:rFonts w:hint="eastAsia" w:ascii="方正仿宋_GBK" w:hAnsi="方正仿宋_GBK" w:cs="方正仿宋_GBK"/>
                <w:spacing w:val="-8"/>
                <w:sz w:val="21"/>
                <w:szCs w:val="21"/>
              </w:rPr>
              <w:t>（二）距屠宰场、集中垃圾堆场、污水处理站等单位，不小于500米；</w:t>
            </w:r>
          </w:p>
          <w:p w14:paraId="6DF4D9CD">
            <w:pPr>
              <w:spacing w:line="240" w:lineRule="exact"/>
              <w:rPr>
                <w:rFonts w:ascii="方正仿宋_GBK" w:hAnsi="方正仿宋_GBK" w:cs="方正仿宋_GBK"/>
                <w:sz w:val="21"/>
                <w:szCs w:val="21"/>
              </w:rPr>
            </w:pPr>
            <w:r>
              <w:rPr>
                <w:rFonts w:hint="eastAsia" w:ascii="方正仿宋_GBK" w:hAnsi="方正仿宋_GBK" w:cs="方正仿宋_GBK"/>
                <w:spacing w:val="-8"/>
                <w:sz w:val="21"/>
                <w:szCs w:val="21"/>
              </w:rPr>
              <w:t>（三）距砖瓦厂、混凝土及石膏制品厂等粉尘污染源，不小于100米。</w:t>
            </w:r>
          </w:p>
        </w:tc>
        <w:tc>
          <w:tcPr>
            <w:tcW w:w="2584" w:type="dxa"/>
            <w:tcBorders>
              <w:top w:val="outset" w:color="000000" w:sz="6" w:space="0"/>
              <w:left w:val="outset" w:color="000000" w:sz="6" w:space="0"/>
              <w:bottom w:val="outset" w:color="000000" w:sz="6" w:space="0"/>
            </w:tcBorders>
            <w:vAlign w:val="center"/>
          </w:tcPr>
          <w:p w14:paraId="49400007">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《粮油仓储管理办法》第七条、《粮油仓储管理办法》附件1“关于污染源、危险源安全距离的规定”</w:t>
            </w:r>
          </w:p>
        </w:tc>
      </w:tr>
      <w:tr w14:paraId="491F53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125" w:hRule="atLeast"/>
          <w:jc w:val="center"/>
        </w:trPr>
        <w:tc>
          <w:tcPr>
            <w:tcW w:w="503" w:type="dxa"/>
            <w:tcBorders>
              <w:top w:val="outset" w:color="000000" w:sz="6" w:space="0"/>
              <w:bottom w:val="outset" w:color="000000" w:sz="6" w:space="0"/>
              <w:right w:val="outset" w:color="000000" w:sz="6" w:space="0"/>
            </w:tcBorders>
            <w:vAlign w:val="center"/>
          </w:tcPr>
          <w:p w14:paraId="1F32B4BC">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11</w:t>
            </w:r>
          </w:p>
        </w:tc>
        <w:tc>
          <w:tcPr>
            <w:tcW w:w="1665" w:type="dxa"/>
            <w:tcBorders>
              <w:top w:val="outset" w:color="000000" w:sz="6" w:space="0"/>
              <w:left w:val="outset" w:color="000000" w:sz="6" w:space="0"/>
              <w:bottom w:val="outset" w:color="000000" w:sz="6" w:space="0"/>
              <w:right w:val="outset" w:color="000000" w:sz="6" w:space="0"/>
            </w:tcBorders>
            <w:vAlign w:val="center"/>
          </w:tcPr>
          <w:p w14:paraId="604B131C">
            <w:pPr>
              <w:spacing w:line="24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烟草制品零售</w:t>
            </w:r>
          </w:p>
        </w:tc>
        <w:tc>
          <w:tcPr>
            <w:tcW w:w="4786" w:type="dxa"/>
            <w:tcBorders>
              <w:top w:val="outset" w:color="000000" w:sz="6" w:space="0"/>
              <w:left w:val="outset" w:color="000000" w:sz="6" w:space="0"/>
              <w:bottom w:val="outset" w:color="000000" w:sz="6" w:space="0"/>
              <w:right w:val="outset" w:color="000000" w:sz="6" w:space="0"/>
            </w:tcBorders>
            <w:vAlign w:val="center"/>
          </w:tcPr>
          <w:p w14:paraId="25F20180">
            <w:pPr>
              <w:spacing w:line="240" w:lineRule="exact"/>
              <w:rPr>
                <w:rFonts w:ascii="方正仿宋_GBK" w:hAnsi="方正仿宋_GBK" w:cs="方正仿宋_GBK"/>
                <w:sz w:val="21"/>
                <w:szCs w:val="21"/>
              </w:rPr>
            </w:pPr>
            <w:r>
              <w:rPr>
                <w:rFonts w:hint="eastAsia" w:ascii="方正仿宋_GBK" w:hAnsi="方正仿宋_GBK" w:cs="方正仿宋_GBK"/>
                <w:sz w:val="21"/>
                <w:szCs w:val="21"/>
              </w:rPr>
              <w:t>中小学周围不得设置烟草专卖零售点</w:t>
            </w:r>
          </w:p>
        </w:tc>
        <w:tc>
          <w:tcPr>
            <w:tcW w:w="2584" w:type="dxa"/>
            <w:tcBorders>
              <w:top w:val="outset" w:color="000000" w:sz="6" w:space="0"/>
              <w:left w:val="outset" w:color="000000" w:sz="6" w:space="0"/>
              <w:bottom w:val="outset" w:color="000000" w:sz="6" w:space="0"/>
            </w:tcBorders>
            <w:vAlign w:val="center"/>
          </w:tcPr>
          <w:p w14:paraId="5A061AFB">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《烟草专卖许可证管理办法》第二十五条</w:t>
            </w:r>
          </w:p>
        </w:tc>
      </w:tr>
      <w:tr w14:paraId="3E1D39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290" w:hRule="atLeast"/>
          <w:jc w:val="center"/>
        </w:trPr>
        <w:tc>
          <w:tcPr>
            <w:tcW w:w="503" w:type="dxa"/>
            <w:tcBorders>
              <w:top w:val="outset" w:color="000000" w:sz="6" w:space="0"/>
              <w:bottom w:val="outset" w:color="000000" w:sz="6" w:space="0"/>
              <w:right w:val="outset" w:color="000000" w:sz="6" w:space="0"/>
            </w:tcBorders>
            <w:vAlign w:val="center"/>
          </w:tcPr>
          <w:p w14:paraId="16A147ED">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12</w:t>
            </w:r>
          </w:p>
        </w:tc>
        <w:tc>
          <w:tcPr>
            <w:tcW w:w="1665" w:type="dxa"/>
            <w:tcBorders>
              <w:top w:val="outset" w:color="000000" w:sz="6" w:space="0"/>
              <w:left w:val="outset" w:color="000000" w:sz="6" w:space="0"/>
              <w:bottom w:val="outset" w:color="000000" w:sz="6" w:space="0"/>
              <w:right w:val="outset" w:color="000000" w:sz="6" w:space="0"/>
            </w:tcBorders>
            <w:vAlign w:val="center"/>
          </w:tcPr>
          <w:p w14:paraId="4CA89FFB">
            <w:pPr>
              <w:spacing w:line="24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医疗器械经营</w:t>
            </w:r>
          </w:p>
        </w:tc>
        <w:tc>
          <w:tcPr>
            <w:tcW w:w="4786" w:type="dxa"/>
            <w:tcBorders>
              <w:top w:val="outset" w:color="000000" w:sz="6" w:space="0"/>
              <w:left w:val="outset" w:color="000000" w:sz="6" w:space="0"/>
              <w:bottom w:val="outset" w:color="000000" w:sz="6" w:space="0"/>
              <w:right w:val="outset" w:color="000000" w:sz="6" w:space="0"/>
            </w:tcBorders>
            <w:vAlign w:val="center"/>
          </w:tcPr>
          <w:p w14:paraId="0E0E5CF3">
            <w:pPr>
              <w:spacing w:line="240" w:lineRule="exact"/>
              <w:rPr>
                <w:rFonts w:ascii="方正仿宋_GBK" w:hAnsi="方正仿宋_GBK" w:cs="方正仿宋_GBK"/>
                <w:sz w:val="21"/>
                <w:szCs w:val="21"/>
              </w:rPr>
            </w:pPr>
            <w:r>
              <w:rPr>
                <w:rFonts w:hint="eastAsia" w:ascii="方正仿宋_GBK" w:hAnsi="方正仿宋_GBK" w:cs="方正仿宋_GBK"/>
                <w:sz w:val="21"/>
                <w:szCs w:val="21"/>
              </w:rPr>
              <w:t>医疗器械经营企业的经营场所和库房不得设在居民住宅内、军事管理区（不含可租赁区）以及其他不适合经营的场所。</w:t>
            </w:r>
          </w:p>
          <w:p w14:paraId="73CA247D">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top w:val="outset" w:color="000000" w:sz="6" w:space="0"/>
              <w:left w:val="outset" w:color="000000" w:sz="6" w:space="0"/>
              <w:bottom w:val="outset" w:color="000000" w:sz="6" w:space="0"/>
            </w:tcBorders>
            <w:vAlign w:val="center"/>
          </w:tcPr>
          <w:p w14:paraId="68D3C935">
            <w:pPr>
              <w:spacing w:line="240" w:lineRule="exact"/>
              <w:rPr>
                <w:rFonts w:ascii="方正仿宋_GBK" w:hAnsi="方正仿宋_GBK" w:cs="方正仿宋_GBK"/>
                <w:sz w:val="21"/>
                <w:szCs w:val="21"/>
              </w:rPr>
            </w:pPr>
            <w:r>
              <w:rPr>
                <w:rFonts w:hint="eastAsia" w:ascii="方正仿宋_GBK" w:hAnsi="方正仿宋_GBK" w:cs="方正仿宋_GBK"/>
                <w:sz w:val="21"/>
                <w:szCs w:val="21"/>
              </w:rPr>
              <w:t>《医疗器械经营质量管理规范》第十六条</w:t>
            </w:r>
          </w:p>
        </w:tc>
      </w:tr>
      <w:tr w14:paraId="669B08A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90" w:hRule="atLeast"/>
          <w:jc w:val="center"/>
        </w:trPr>
        <w:tc>
          <w:tcPr>
            <w:tcW w:w="503" w:type="dxa"/>
            <w:tcBorders>
              <w:top w:val="outset" w:color="000000" w:sz="6" w:space="0"/>
              <w:bottom w:val="outset" w:color="000000" w:sz="6" w:space="0"/>
              <w:right w:val="outset" w:color="000000" w:sz="6" w:space="0"/>
            </w:tcBorders>
            <w:vAlign w:val="center"/>
          </w:tcPr>
          <w:p w14:paraId="2C380718">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13</w:t>
            </w:r>
          </w:p>
        </w:tc>
        <w:tc>
          <w:tcPr>
            <w:tcW w:w="1665" w:type="dxa"/>
            <w:tcBorders>
              <w:top w:val="outset" w:color="000000" w:sz="6" w:space="0"/>
              <w:left w:val="outset" w:color="000000" w:sz="6" w:space="0"/>
              <w:bottom w:val="outset" w:color="000000" w:sz="6" w:space="0"/>
              <w:right w:val="outset" w:color="000000" w:sz="6" w:space="0"/>
            </w:tcBorders>
            <w:vAlign w:val="center"/>
          </w:tcPr>
          <w:p w14:paraId="5BAC7EAC">
            <w:pPr>
              <w:spacing w:line="24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犬只养殖、交易</w:t>
            </w:r>
          </w:p>
        </w:tc>
        <w:tc>
          <w:tcPr>
            <w:tcW w:w="4786" w:type="dxa"/>
            <w:tcBorders>
              <w:top w:val="outset" w:color="000000" w:sz="6" w:space="0"/>
              <w:left w:val="outset" w:color="000000" w:sz="6" w:space="0"/>
              <w:bottom w:val="outset" w:color="000000" w:sz="6" w:space="0"/>
              <w:right w:val="outset" w:color="000000" w:sz="6" w:space="0"/>
            </w:tcBorders>
            <w:vAlign w:val="center"/>
          </w:tcPr>
          <w:p w14:paraId="3AD96120">
            <w:pPr>
              <w:spacing w:line="240" w:lineRule="exact"/>
              <w:rPr>
                <w:rFonts w:ascii="方正仿宋_GBK" w:hAnsi="方正仿宋_GBK" w:cs="方正仿宋_GBK"/>
                <w:sz w:val="21"/>
                <w:szCs w:val="21"/>
              </w:rPr>
            </w:pPr>
            <w:r>
              <w:rPr>
                <w:rFonts w:hint="eastAsia" w:ascii="方正仿宋_GBK" w:hAnsi="方正仿宋_GBK" w:cs="方正仿宋_GBK"/>
                <w:sz w:val="21"/>
                <w:szCs w:val="21"/>
              </w:rPr>
              <w:t>养殖、交易场所不得设在住宅小区、商住楼以及其他人口密集区域。</w:t>
            </w:r>
          </w:p>
          <w:p w14:paraId="54E74982">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*禁止将住宅作为住所登记</w:t>
            </w:r>
          </w:p>
        </w:tc>
        <w:tc>
          <w:tcPr>
            <w:tcW w:w="2584" w:type="dxa"/>
            <w:tcBorders>
              <w:top w:val="outset" w:color="000000" w:sz="6" w:space="0"/>
              <w:left w:val="outset" w:color="000000" w:sz="6" w:space="0"/>
              <w:bottom w:val="outset" w:color="000000" w:sz="6" w:space="0"/>
            </w:tcBorders>
            <w:vAlign w:val="center"/>
          </w:tcPr>
          <w:p w14:paraId="0C91F984">
            <w:pPr>
              <w:spacing w:line="240" w:lineRule="exact"/>
              <w:rPr>
                <w:rFonts w:ascii="方正仿宋_GBK" w:hAnsi="方正仿宋_GBK" w:cs="方正仿宋_GBK"/>
                <w:sz w:val="21"/>
                <w:szCs w:val="21"/>
              </w:rPr>
            </w:pPr>
            <w:r>
              <w:rPr>
                <w:rFonts w:hint="eastAsia" w:ascii="方正仿宋_GBK" w:hAnsi="方正仿宋_GBK" w:cs="方正仿宋_GBK"/>
                <w:sz w:val="21"/>
                <w:szCs w:val="21"/>
              </w:rPr>
              <w:t>《重庆市养犬管理暂行办法》第二十一条</w:t>
            </w:r>
          </w:p>
        </w:tc>
      </w:tr>
      <w:tr w14:paraId="50225A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90" w:hRule="atLeast"/>
          <w:jc w:val="center"/>
        </w:trPr>
        <w:tc>
          <w:tcPr>
            <w:tcW w:w="503" w:type="dxa"/>
            <w:tcBorders>
              <w:top w:val="outset" w:color="000000" w:sz="6" w:space="0"/>
              <w:bottom w:val="outset" w:color="000000" w:sz="6" w:space="0"/>
              <w:right w:val="outset" w:color="000000" w:sz="6" w:space="0"/>
            </w:tcBorders>
            <w:vAlign w:val="center"/>
          </w:tcPr>
          <w:p w14:paraId="735E3AF1">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14</w:t>
            </w:r>
          </w:p>
        </w:tc>
        <w:tc>
          <w:tcPr>
            <w:tcW w:w="1665" w:type="dxa"/>
            <w:tcBorders>
              <w:top w:val="outset" w:color="000000" w:sz="6" w:space="0"/>
              <w:left w:val="outset" w:color="000000" w:sz="6" w:space="0"/>
              <w:bottom w:val="outset" w:color="000000" w:sz="6" w:space="0"/>
              <w:right w:val="outset" w:color="000000" w:sz="6" w:space="0"/>
            </w:tcBorders>
            <w:vAlign w:val="center"/>
          </w:tcPr>
          <w:p w14:paraId="3B51AB9F">
            <w:pPr>
              <w:spacing w:line="24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收购废旧金属</w:t>
            </w:r>
          </w:p>
        </w:tc>
        <w:tc>
          <w:tcPr>
            <w:tcW w:w="4786" w:type="dxa"/>
            <w:tcBorders>
              <w:top w:val="outset" w:color="000000" w:sz="6" w:space="0"/>
              <w:left w:val="outset" w:color="000000" w:sz="6" w:space="0"/>
              <w:bottom w:val="outset" w:color="000000" w:sz="6" w:space="0"/>
              <w:right w:val="outset" w:color="000000" w:sz="6" w:space="0"/>
            </w:tcBorders>
            <w:vAlign w:val="center"/>
          </w:tcPr>
          <w:p w14:paraId="0A703A25">
            <w:pPr>
              <w:spacing w:line="240" w:lineRule="exact"/>
              <w:rPr>
                <w:rFonts w:ascii="方正仿宋_GBK" w:hAnsi="方正仿宋_GBK" w:cs="方正仿宋_GBK"/>
                <w:sz w:val="21"/>
                <w:szCs w:val="21"/>
              </w:rPr>
            </w:pPr>
            <w:r>
              <w:rPr>
                <w:rFonts w:hint="eastAsia" w:ascii="方正仿宋_GBK" w:hAnsi="方正仿宋_GBK" w:cs="方正仿宋_GBK"/>
                <w:sz w:val="21"/>
                <w:szCs w:val="21"/>
              </w:rPr>
              <w:t>铁路、矿区、油田、港口、机场、施工工地、军事禁区和金属冶炼加工企业附近，不得设点收购废旧金属</w:t>
            </w:r>
          </w:p>
        </w:tc>
        <w:tc>
          <w:tcPr>
            <w:tcW w:w="2584" w:type="dxa"/>
            <w:tcBorders>
              <w:top w:val="outset" w:color="000000" w:sz="6" w:space="0"/>
              <w:left w:val="outset" w:color="000000" w:sz="6" w:space="0"/>
              <w:bottom w:val="outset" w:color="000000" w:sz="6" w:space="0"/>
            </w:tcBorders>
            <w:vAlign w:val="center"/>
          </w:tcPr>
          <w:p w14:paraId="636BBCF6">
            <w:pPr>
              <w:spacing w:line="240" w:lineRule="exact"/>
              <w:rPr>
                <w:rFonts w:ascii="方正仿宋_GBK" w:hAnsi="方正仿宋_GBK" w:cs="方正仿宋_GBK"/>
                <w:sz w:val="21"/>
                <w:szCs w:val="21"/>
              </w:rPr>
            </w:pPr>
            <w:r>
              <w:rPr>
                <w:rFonts w:hint="eastAsia" w:ascii="方正仿宋_GBK" w:hAnsi="方正仿宋_GBK" w:cs="方正仿宋_GBK"/>
                <w:sz w:val="21"/>
                <w:szCs w:val="21"/>
              </w:rPr>
              <w:t>《废旧金属收购业治安管理办法》第七条</w:t>
            </w:r>
          </w:p>
        </w:tc>
      </w:tr>
      <w:tr w14:paraId="7491D6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950" w:hRule="atLeast"/>
          <w:jc w:val="center"/>
        </w:trPr>
        <w:tc>
          <w:tcPr>
            <w:tcW w:w="503" w:type="dxa"/>
            <w:vMerge w:val="restart"/>
            <w:tcBorders>
              <w:top w:val="outset" w:color="000000" w:sz="6" w:space="0"/>
              <w:right w:val="outset" w:color="000000" w:sz="6" w:space="0"/>
            </w:tcBorders>
            <w:vAlign w:val="center"/>
          </w:tcPr>
          <w:p w14:paraId="0B015231">
            <w:pPr>
              <w:spacing w:line="260" w:lineRule="exact"/>
              <w:jc w:val="center"/>
              <w:rPr>
                <w:rFonts w:ascii="方正仿宋_GBK" w:hAnsi="方正仿宋_GBK" w:cs="方正仿宋_GBK"/>
                <w:sz w:val="21"/>
                <w:szCs w:val="21"/>
              </w:rPr>
            </w:pPr>
            <w:r>
              <w:rPr>
                <w:rFonts w:hint="eastAsia" w:ascii="方正仿宋_GBK" w:hAnsi="方正仿宋_GBK" w:cs="方正仿宋_GBK"/>
                <w:sz w:val="21"/>
                <w:szCs w:val="21"/>
              </w:rPr>
              <w:t>15</w:t>
            </w:r>
          </w:p>
          <w:p w14:paraId="3F59E2E0">
            <w:pPr>
              <w:spacing w:line="260" w:lineRule="exact"/>
              <w:jc w:val="center"/>
              <w:rPr>
                <w:rFonts w:ascii="方正仿宋_GBK" w:hAnsi="方正仿宋_GBK" w:cs="方正仿宋_GBK"/>
                <w:sz w:val="21"/>
                <w:szCs w:val="21"/>
              </w:rPr>
            </w:pPr>
          </w:p>
        </w:tc>
        <w:tc>
          <w:tcPr>
            <w:tcW w:w="1665" w:type="dxa"/>
            <w:vMerge w:val="restart"/>
            <w:tcBorders>
              <w:top w:val="outset" w:color="000000" w:sz="6" w:space="0"/>
              <w:left w:val="outset" w:color="000000" w:sz="6" w:space="0"/>
              <w:right w:val="outset" w:color="000000" w:sz="6" w:space="0"/>
            </w:tcBorders>
            <w:vAlign w:val="center"/>
          </w:tcPr>
          <w:p w14:paraId="0719C6E9">
            <w:pPr>
              <w:spacing w:line="240" w:lineRule="exact"/>
              <w:jc w:val="center"/>
              <w:rPr>
                <w:rFonts w:ascii="方正仿宋_GBK" w:hAnsi="方正仿宋_GBK" w:cs="方正仿宋_GBK"/>
                <w:b/>
                <w:bCs/>
                <w:sz w:val="21"/>
                <w:szCs w:val="21"/>
              </w:rPr>
            </w:pPr>
            <w:r>
              <w:rPr>
                <w:rFonts w:hint="eastAsia" w:ascii="方正仿宋_GBK" w:hAnsi="方正仿宋_GBK" w:cs="方正仿宋_GBK"/>
                <w:b/>
                <w:bCs/>
                <w:sz w:val="21"/>
                <w:szCs w:val="21"/>
              </w:rPr>
              <w:t>特定区域</w:t>
            </w:r>
          </w:p>
          <w:p w14:paraId="5790B1C9">
            <w:pPr>
              <w:spacing w:line="240" w:lineRule="exact"/>
              <w:rPr>
                <w:rFonts w:ascii="方正仿宋_GBK" w:hAnsi="方正仿宋_GBK" w:cs="方正仿宋_GBK"/>
                <w:b/>
                <w:bCs/>
                <w:sz w:val="21"/>
                <w:szCs w:val="21"/>
              </w:rPr>
            </w:pPr>
          </w:p>
        </w:tc>
        <w:tc>
          <w:tcPr>
            <w:tcW w:w="4786" w:type="dxa"/>
            <w:tcBorders>
              <w:top w:val="outset" w:color="000000" w:sz="6" w:space="0"/>
              <w:left w:val="outset" w:color="000000" w:sz="6" w:space="0"/>
              <w:bottom w:val="outset" w:color="000000" w:sz="6" w:space="0"/>
              <w:right w:val="outset" w:color="000000" w:sz="6" w:space="0"/>
            </w:tcBorders>
            <w:vAlign w:val="center"/>
          </w:tcPr>
          <w:p w14:paraId="2CD0FBB4">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2584" w:type="dxa"/>
            <w:tcBorders>
              <w:top w:val="outset" w:color="000000" w:sz="6" w:space="0"/>
              <w:left w:val="outset" w:color="000000" w:sz="6" w:space="0"/>
              <w:bottom w:val="outset" w:color="000000" w:sz="6" w:space="0"/>
            </w:tcBorders>
            <w:vAlign w:val="center"/>
          </w:tcPr>
          <w:p w14:paraId="59484A1B">
            <w:pPr>
              <w:spacing w:line="240" w:lineRule="exact"/>
              <w:rPr>
                <w:rFonts w:ascii="方正仿宋_GBK" w:hAnsi="方正仿宋_GBK" w:cs="方正仿宋_GBK"/>
                <w:sz w:val="21"/>
                <w:szCs w:val="21"/>
              </w:rPr>
            </w:pPr>
            <w:r>
              <w:rPr>
                <w:rFonts w:hint="eastAsia" w:ascii="方正仿宋_GBK" w:hAnsi="方正仿宋_GBK" w:cs="方正仿宋_GBK"/>
                <w:sz w:val="21"/>
                <w:szCs w:val="21"/>
              </w:rPr>
              <w:t>《风景名胜区条例》第二十七条</w:t>
            </w:r>
          </w:p>
        </w:tc>
      </w:tr>
      <w:tr w14:paraId="001DE4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995" w:hRule="atLeast"/>
          <w:jc w:val="center"/>
        </w:trPr>
        <w:tc>
          <w:tcPr>
            <w:tcW w:w="503" w:type="dxa"/>
            <w:vMerge w:val="continue"/>
            <w:tcBorders>
              <w:right w:val="outset" w:color="000000" w:sz="6" w:space="0"/>
            </w:tcBorders>
            <w:vAlign w:val="center"/>
          </w:tcPr>
          <w:p w14:paraId="0903C904">
            <w:pPr>
              <w:spacing w:line="260" w:lineRule="exact"/>
              <w:jc w:val="center"/>
              <w:rPr>
                <w:rFonts w:ascii="方正仿宋_GBK" w:hAnsi="方正仿宋_GBK" w:cs="方正仿宋_GBK"/>
                <w:sz w:val="21"/>
                <w:szCs w:val="21"/>
              </w:rPr>
            </w:pPr>
          </w:p>
        </w:tc>
        <w:tc>
          <w:tcPr>
            <w:tcW w:w="1665" w:type="dxa"/>
            <w:vMerge w:val="continue"/>
            <w:tcBorders>
              <w:left w:val="outset" w:color="000000" w:sz="6" w:space="0"/>
              <w:right w:val="outset" w:color="000000" w:sz="6" w:space="0"/>
            </w:tcBorders>
            <w:vAlign w:val="center"/>
          </w:tcPr>
          <w:p w14:paraId="042D369E">
            <w:pPr>
              <w:spacing w:line="240" w:lineRule="exact"/>
              <w:jc w:val="center"/>
              <w:rPr>
                <w:rFonts w:ascii="方正仿宋_GBK" w:hAnsi="方正仿宋_GBK" w:cs="方正仿宋_GBK"/>
                <w:b/>
                <w:bCs/>
                <w:sz w:val="21"/>
                <w:szCs w:val="21"/>
              </w:rPr>
            </w:pPr>
          </w:p>
        </w:tc>
        <w:tc>
          <w:tcPr>
            <w:tcW w:w="4786" w:type="dxa"/>
            <w:tcBorders>
              <w:top w:val="outset" w:color="000000" w:sz="6" w:space="0"/>
              <w:left w:val="outset" w:color="000000" w:sz="6" w:space="0"/>
              <w:bottom w:val="outset" w:color="000000" w:sz="6" w:space="0"/>
              <w:right w:val="outset" w:color="000000" w:sz="6" w:space="0"/>
            </w:tcBorders>
            <w:vAlign w:val="center"/>
          </w:tcPr>
          <w:p w14:paraId="04DA6E3D">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tc>
        <w:tc>
          <w:tcPr>
            <w:tcW w:w="2584" w:type="dxa"/>
            <w:tcBorders>
              <w:top w:val="outset" w:color="000000" w:sz="6" w:space="0"/>
              <w:left w:val="outset" w:color="000000" w:sz="6" w:space="0"/>
              <w:bottom w:val="outset" w:color="000000" w:sz="6" w:space="0"/>
            </w:tcBorders>
            <w:vAlign w:val="center"/>
          </w:tcPr>
          <w:p w14:paraId="5CB07D96">
            <w:pPr>
              <w:spacing w:line="240" w:lineRule="exact"/>
              <w:rPr>
                <w:rFonts w:ascii="方正仿宋_GBK" w:hAnsi="方正仿宋_GBK" w:cs="方正仿宋_GBK"/>
                <w:sz w:val="21"/>
                <w:szCs w:val="21"/>
              </w:rPr>
            </w:pPr>
            <w:r>
              <w:rPr>
                <w:rFonts w:hint="eastAsia" w:ascii="方正仿宋_GBK" w:hAnsi="方正仿宋_GBK" w:cs="方正仿宋_GBK"/>
                <w:sz w:val="21"/>
                <w:szCs w:val="21"/>
              </w:rPr>
              <w:t>《中华人民共和国自然保护区条例》第二十八条</w:t>
            </w:r>
          </w:p>
        </w:tc>
      </w:tr>
      <w:tr w14:paraId="04054AD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455" w:hRule="atLeast"/>
          <w:jc w:val="center"/>
        </w:trPr>
        <w:tc>
          <w:tcPr>
            <w:tcW w:w="503" w:type="dxa"/>
            <w:vMerge w:val="continue"/>
            <w:tcBorders>
              <w:right w:val="outset" w:color="000000" w:sz="6" w:space="0"/>
            </w:tcBorders>
            <w:vAlign w:val="center"/>
          </w:tcPr>
          <w:p w14:paraId="04F5DCCC">
            <w:pPr>
              <w:spacing w:line="260" w:lineRule="exact"/>
              <w:jc w:val="center"/>
              <w:rPr>
                <w:rFonts w:ascii="方正仿宋_GBK" w:hAnsi="方正仿宋_GBK" w:cs="方正仿宋_GBK"/>
                <w:sz w:val="21"/>
                <w:szCs w:val="21"/>
              </w:rPr>
            </w:pPr>
          </w:p>
        </w:tc>
        <w:tc>
          <w:tcPr>
            <w:tcW w:w="1665" w:type="dxa"/>
            <w:vMerge w:val="continue"/>
            <w:tcBorders>
              <w:left w:val="outset" w:color="000000" w:sz="6" w:space="0"/>
              <w:right w:val="outset" w:color="000000" w:sz="6" w:space="0"/>
            </w:tcBorders>
            <w:vAlign w:val="center"/>
          </w:tcPr>
          <w:p w14:paraId="7B8C7D0C">
            <w:pPr>
              <w:spacing w:line="240" w:lineRule="exact"/>
              <w:jc w:val="center"/>
              <w:rPr>
                <w:rFonts w:ascii="方正仿宋_GBK" w:hAnsi="方正仿宋_GBK" w:cs="方正仿宋_GBK"/>
                <w:b/>
                <w:bCs/>
                <w:sz w:val="21"/>
                <w:szCs w:val="21"/>
              </w:rPr>
            </w:pPr>
          </w:p>
        </w:tc>
        <w:tc>
          <w:tcPr>
            <w:tcW w:w="4786" w:type="dxa"/>
            <w:tcBorders>
              <w:top w:val="outset" w:color="000000" w:sz="6" w:space="0"/>
              <w:left w:val="outset" w:color="000000" w:sz="6" w:space="0"/>
              <w:bottom w:val="outset" w:color="000000" w:sz="6" w:space="0"/>
              <w:right w:val="outset" w:color="000000" w:sz="6" w:space="0"/>
            </w:tcBorders>
            <w:vAlign w:val="center"/>
          </w:tcPr>
          <w:p w14:paraId="01C5559F">
            <w:pPr>
              <w:spacing w:line="240" w:lineRule="exact"/>
              <w:rPr>
                <w:rFonts w:ascii="方正仿宋_GBK" w:hAnsi="方正仿宋_GBK" w:cs="方正仿宋_GBK"/>
                <w:sz w:val="21"/>
                <w:szCs w:val="21"/>
              </w:rPr>
            </w:pPr>
            <w:r>
              <w:rPr>
                <w:rFonts w:hint="eastAsia" w:ascii="方正仿宋_GBK" w:hAnsi="方正仿宋_GBK" w:cs="方正仿宋_GBK"/>
                <w:sz w:val="21"/>
                <w:szCs w:val="21"/>
              </w:rPr>
              <w:t>严禁在历史建筑、公园等公共资源中以自建、租赁、承包、转让、出借、抵押、买断、合资、合作等形式设立私人会所</w:t>
            </w:r>
          </w:p>
        </w:tc>
        <w:tc>
          <w:tcPr>
            <w:tcW w:w="2584" w:type="dxa"/>
            <w:tcBorders>
              <w:top w:val="outset" w:color="000000" w:sz="6" w:space="0"/>
              <w:left w:val="outset" w:color="000000" w:sz="6" w:space="0"/>
              <w:bottom w:val="outset" w:color="000000" w:sz="6" w:space="0"/>
            </w:tcBorders>
            <w:vAlign w:val="center"/>
          </w:tcPr>
          <w:p w14:paraId="51D29690">
            <w:pPr>
              <w:spacing w:line="240" w:lineRule="exact"/>
              <w:rPr>
                <w:rFonts w:ascii="方正仿宋_GBK" w:hAnsi="方正仿宋_GBK" w:cs="方正仿宋_GBK"/>
                <w:sz w:val="21"/>
                <w:szCs w:val="21"/>
              </w:rPr>
            </w:pPr>
            <w:r>
              <w:rPr>
                <w:rFonts w:hint="eastAsia" w:ascii="方正仿宋_GBK" w:hAnsi="方正仿宋_GBK" w:cs="方正仿宋_GBK"/>
                <w:sz w:val="21"/>
                <w:szCs w:val="21"/>
              </w:rPr>
              <w:t>《关于严禁在历史建筑、公园等公共资源中设立私人会所的暂行规定》</w:t>
            </w:r>
          </w:p>
        </w:tc>
      </w:tr>
      <w:tr w14:paraId="14CDC1B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365" w:hRule="atLeast"/>
          <w:jc w:val="center"/>
        </w:trPr>
        <w:tc>
          <w:tcPr>
            <w:tcW w:w="503" w:type="dxa"/>
            <w:vMerge w:val="continue"/>
            <w:tcBorders>
              <w:bottom w:val="outset" w:color="000000" w:sz="6" w:space="0"/>
              <w:right w:val="outset" w:color="000000" w:sz="6" w:space="0"/>
            </w:tcBorders>
            <w:vAlign w:val="center"/>
          </w:tcPr>
          <w:p w14:paraId="1FA4F390">
            <w:pPr>
              <w:spacing w:line="260" w:lineRule="exact"/>
              <w:jc w:val="center"/>
              <w:rPr>
                <w:rFonts w:ascii="方正仿宋_GBK" w:hAnsi="方正仿宋_GBK" w:cs="方正仿宋_GBK"/>
                <w:sz w:val="21"/>
                <w:szCs w:val="21"/>
              </w:rPr>
            </w:pPr>
          </w:p>
        </w:tc>
        <w:tc>
          <w:tcPr>
            <w:tcW w:w="1665" w:type="dxa"/>
            <w:vMerge w:val="continue"/>
            <w:tcBorders>
              <w:left w:val="outset" w:color="000000" w:sz="6" w:space="0"/>
              <w:bottom w:val="outset" w:color="000000" w:sz="6" w:space="0"/>
              <w:right w:val="outset" w:color="000000" w:sz="6" w:space="0"/>
            </w:tcBorders>
            <w:vAlign w:val="center"/>
          </w:tcPr>
          <w:p w14:paraId="513A3273">
            <w:pPr>
              <w:spacing w:line="240" w:lineRule="exact"/>
              <w:jc w:val="center"/>
              <w:rPr>
                <w:rFonts w:ascii="方正仿宋_GBK" w:hAnsi="方正仿宋_GBK" w:cs="方正仿宋_GBK"/>
                <w:b/>
                <w:bCs/>
                <w:sz w:val="21"/>
                <w:szCs w:val="21"/>
              </w:rPr>
            </w:pPr>
          </w:p>
        </w:tc>
        <w:tc>
          <w:tcPr>
            <w:tcW w:w="4786" w:type="dxa"/>
            <w:tcBorders>
              <w:top w:val="outset" w:color="000000" w:sz="6" w:space="0"/>
              <w:left w:val="outset" w:color="000000" w:sz="6" w:space="0"/>
              <w:bottom w:val="outset" w:color="000000" w:sz="6" w:space="0"/>
              <w:right w:val="outset" w:color="000000" w:sz="6" w:space="0"/>
            </w:tcBorders>
            <w:vAlign w:val="center"/>
          </w:tcPr>
          <w:p w14:paraId="04272A75">
            <w:pPr>
              <w:spacing w:line="240" w:lineRule="exact"/>
              <w:rPr>
                <w:rFonts w:ascii="方正仿宋_GBK" w:hAnsi="方正仿宋_GBK" w:cs="方正仿宋_GBK"/>
                <w:sz w:val="21"/>
                <w:szCs w:val="21"/>
              </w:rPr>
            </w:pPr>
            <w:r>
              <w:rPr>
                <w:rFonts w:hint="eastAsia" w:ascii="方正仿宋_GBK" w:hAnsi="方正仿宋_GBK" w:cs="方正仿宋_GBK"/>
                <w:sz w:val="21"/>
                <w:szCs w:val="21"/>
              </w:rPr>
              <w:t>禁止在饮用水水源一级保护区内从事网箱养殖、旅游、游泳、垂钓或者其他可能污染饮用水体的活动</w:t>
            </w:r>
          </w:p>
        </w:tc>
        <w:tc>
          <w:tcPr>
            <w:tcW w:w="2584" w:type="dxa"/>
            <w:tcBorders>
              <w:top w:val="outset" w:color="000000" w:sz="6" w:space="0"/>
              <w:left w:val="outset" w:color="000000" w:sz="6" w:space="0"/>
              <w:bottom w:val="outset" w:color="000000" w:sz="6" w:space="0"/>
            </w:tcBorders>
            <w:vAlign w:val="center"/>
          </w:tcPr>
          <w:p w14:paraId="1CA34951">
            <w:pPr>
              <w:spacing w:line="240" w:lineRule="exact"/>
              <w:rPr>
                <w:rFonts w:ascii="方正仿宋_GBK" w:hAnsi="方正仿宋_GBK" w:cs="方正仿宋_GBK"/>
                <w:sz w:val="21"/>
                <w:szCs w:val="21"/>
              </w:rPr>
            </w:pPr>
            <w:r>
              <w:rPr>
                <w:rFonts w:hint="eastAsia" w:ascii="方正仿宋_GBK" w:hAnsi="方正仿宋_GBK" w:cs="方正仿宋_GBK"/>
                <w:sz w:val="21"/>
                <w:szCs w:val="21"/>
              </w:rPr>
              <w:t>《中华人民共和国水污染防治法》第六十五条</w:t>
            </w:r>
          </w:p>
        </w:tc>
      </w:tr>
    </w:tbl>
    <w:p w14:paraId="31AD1ED2">
      <w:pPr>
        <w:spacing w:line="240" w:lineRule="exact"/>
        <w:rPr>
          <w:rFonts w:ascii="方正仿宋_GBK" w:hAnsi="方正仿宋_GBK" w:cs="方正仿宋_GBK"/>
          <w:b/>
          <w:bCs/>
          <w:sz w:val="21"/>
          <w:szCs w:val="21"/>
        </w:rPr>
      </w:pPr>
    </w:p>
    <w:p w14:paraId="5491D779">
      <w:pPr>
        <w:spacing w:line="240" w:lineRule="exact"/>
        <w:ind w:firstLine="207"/>
        <w:rPr>
          <w:sz w:val="28"/>
          <w:szCs w:val="28"/>
        </w:rPr>
      </w:pPr>
      <w:r>
        <w:rPr>
          <w:rFonts w:hint="eastAsia" w:ascii="方正仿宋_GBK" w:hAnsi="方正仿宋_GBK" w:cs="方正仿宋_GBK"/>
          <w:b/>
          <w:bCs/>
          <w:sz w:val="21"/>
          <w:szCs w:val="21"/>
        </w:rPr>
        <w:t>备注：本目录根据法律、法规的调整实行动态更新。</w:t>
      </w:r>
    </w:p>
    <w:sectPr>
      <w:headerReference r:id="rId3" w:type="default"/>
      <w:footerReference r:id="rId4" w:type="default"/>
      <w:pgSz w:w="11906" w:h="16838"/>
      <w:pgMar w:top="1962" w:right="1474" w:bottom="1848" w:left="1587" w:header="851" w:footer="964" w:gutter="0"/>
      <w:pgNumType w:start="1"/>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47B9">
    <w:pPr>
      <w:pStyle w:val="5"/>
      <w:jc w:val="center"/>
      <w:rPr>
        <w:rFonts w:ascii="宋体" w:hAnsi="宋体" w:eastAsia="宋体" w:cs="宋体"/>
        <w:b/>
        <w:bCs/>
        <w:color w:val="005192"/>
        <w:sz w:val="28"/>
        <w:szCs w:val="4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-187325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B87B53">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4.75pt;height:144pt;width:144pt;mso-position-horizontal:outside;mso-position-horizontal-relative:margin;mso-wrap-style:none;z-index:251659264;mso-width-relative:page;mso-height-relative:page;" filled="f" stroked="f" coordsize="21600,21600" o:gfxdata="UEsDBAoAAAAAAIdO4kAAAAAAAAAAAAAAAAAEAAAAZHJzL1BLAwQUAAAACACHTuJAkVhaE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txkIltM858uRhyzP&#10;QFal/F+g+gFQSwMEFAAAAAgAh07iQCssitUxAgAAZQ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QFJmFKiWYK&#10;Hb98/3b58evy8yvBHQRqrJ8jbmcRGdq3pkXwcO9xGXm3pVPxF4wI/JD3fJVXtIHw+Gg2nc3GcHH4&#10;hgPws8fn1vnwThhFopFTh/4lWdlp60MXOoTEbNpsailTD6UmTU5vXr8ZpwdXD8CljrEiTUMPEyl1&#10;pUcrtPu257k3xRk0nekmxVu+qVHKlvnwwBxGA+VjecI9PqU0SGl6i5LKuC//uo/x6Bi8lDQYtZxq&#10;bBYl8r1GJwEYBsMNxn4w9FHdGczuBEtpeTLxwAU5mKUz6jM2ahVzwMU0R6achsG8C924YyO5WK1S&#10;EGbPsrDVO8sjdJTH29UxQM6kchSlUwLdiQdMX+pTvylxvP88p6jH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YWhDWAAAACAEAAA8AAAAAAAAAAQAgAAAAIgAAAGRycy9kb3ducmV2LnhtbFBL&#10;AQIUABQAAAAIAIdO4kArLIrVMQIAAGUEAAAOAAAAAAAAAAEAIAAAACUBAABkcnMvZTJvRG9jLnht&#10;bFBLBQYAAAAABgAGAFkBAADIBQAAAAA=&#10;">
              <v:fill on="f" focussize="0,0"/>
              <v:stroke on="f" weight="0.5pt"/>
              <v:imagedata o:title=""/>
              <o:lock v:ext="edit" aspectratio="f"/>
              <v:textbox inset="0mm,0mm,0mm,0mm" style="mso-fit-shape-to-text:t;">
                <w:txbxContent>
                  <w:p w14:paraId="1AB87B53">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59264;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mnBta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YuKbHM4IXffv7x69PX&#10;3z+/4Hr7/Rupk0ijhwZzr+wuzB74XUiMjzKY9Ecu5JiFPZ2FFcdIOG7Wq2pVv6wp4RirLsoMWfw7&#10;6wPE18IZkoyWamUTbdawwxuIWA9T/6akbeuuldb56rQlI/aO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N4qPRAAAABgEAAA8AAAAA&#10;AAAAAQAgAAAAIgAAAGRycy9kb3ducmV2LnhtbFBLAQIUABQAAAAIAIdO4kCmnBta4gEAAKwDAAAO&#10;AAAAAAAAAAEAIAAAACABAABkcnMvZTJvRG9jLnhtbFBLBQYAAAAABgAGAFkBAAB0BQAAAAA=&#10;">
              <v:fill on="f" focussize="0,0"/>
              <v:stroke weight="1.75pt" color="#005192" joinstyle="round"/>
              <v:imagedata o:title=""/>
              <o:lock v:ext="edit" aspectratio="f"/>
            </v:line>
          </w:pict>
        </mc:Fallback>
      </mc:AlternateContent>
    </w:r>
  </w:p>
  <w:p w14:paraId="396C8D44">
    <w:pPr>
      <w:pStyle w:val="5"/>
      <w:ind w:firstLine="4804" w:firstLineChars="1709"/>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14:paraId="170BCE08">
    <w:pPr>
      <w:pStyle w:val="5"/>
      <w:ind w:right="360" w:firstLine="360"/>
    </w:pPr>
  </w:p>
  <w:p w14:paraId="22F64CC3">
    <w:pPr>
      <w:pStyle w:val="5"/>
      <w:ind w:right="360" w:firstLine="360"/>
    </w:pPr>
  </w:p>
  <w:p w14:paraId="1042496E">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2AE5">
    <w:pPr>
      <w:pStyle w:val="6"/>
      <w:pBdr>
        <w:bottom w:val="none" w:color="auto" w:sz="0" w:space="1"/>
      </w:pBdr>
      <w:jc w:val="left"/>
      <w:rPr>
        <w:rFonts w:ascii="宋体" w:hAnsi="宋体" w:eastAsia="宋体" w:cs="宋体"/>
        <w:b/>
        <w:bCs/>
        <w:color w:val="005192"/>
        <w:sz w:val="32"/>
      </w:rPr>
    </w:pPr>
  </w:p>
  <w:p w14:paraId="745D65E7">
    <w:pPr>
      <w:pStyle w:val="6"/>
      <w:pBdr>
        <w:bottom w:val="none" w:color="auto" w:sz="0" w:space="1"/>
      </w:pBdr>
      <w:jc w:val="left"/>
      <w:rPr>
        <w:rFonts w:ascii="宋体" w:hAnsi="宋体" w:eastAsia="宋体" w:cs="宋体"/>
        <w:b/>
        <w:bCs/>
        <w:color w:val="005192"/>
        <w:sz w:val="32"/>
        <w:szCs w:val="32"/>
        <w:lang w:eastAsia="zh-Hans"/>
      </w:rPr>
    </w:pPr>
    <w:r>
      <w:rPr>
        <w:rFonts w:ascii="宋体" w:hAnsi="宋体" w:eastAsia="宋体" w:cs="宋体"/>
        <w:b/>
        <w:bCs/>
        <w:color w:val="005192"/>
        <w:sz w:val="32"/>
      </w:rPr>
      <w:drawing>
        <wp:inline distT="0" distB="0" distL="114300" distR="114300">
          <wp:extent cx="304800" cy="304800"/>
          <wp:effectExtent l="0" t="0" r="0" b="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14:paraId="6A95D600">
    <w:pPr>
      <w:pStyle w:val="6"/>
      <w:pBdr>
        <w:bottom w:val="none" w:color="auto" w:sz="0" w:space="1"/>
      </w:pBdr>
      <w:jc w:val="left"/>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78105</wp:posOffset>
              </wp:positionV>
              <wp:extent cx="5616575" cy="1905"/>
              <wp:effectExtent l="0" t="10795" r="6985" b="17780"/>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659264;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W2i4lOEBAACsAwAADgAAAGRycy9lMm9Eb2MueG1srVNNjtMwFN4j&#10;cQfLe5qkmhQmajqLqYYNgkrAAV4dJ7HkP/l5mvYSXACJHaxYsuc2DMfgOQllGDazIAvn/fnz+z4/&#10;r6+ORrODDKicrXmxyDmTVrhG2a7m79/dPHvBGUawDWhnZc1PEvnV5umT9eAruXS9040MjEAsVoOv&#10;eR+jr7IMRS8N4MJ5aSnZumAgkhu6rAkwELrR2TLPV9ngQuODExKRotspyWfE8BhA17ZKyK0Tt0ba&#10;OKEGqSESJeyVR74Zu21bKeKbtkUZma45MY3jSoeQvU9rtllD1QXwvRJzC/CYFh5wMqAsHXqG2kIE&#10;dhvUP1BGieDQtXEhnMkmIqMixKLIH2jztgcvRy4kNfqz6Pj/YMXrwy4w1dT8gjMLhi787uO3Hx8+&#10;//z+ida7r1/YRRJp8FhR7bXdhdlDvwuJ8bENJv2JCzuOwp7OwspjZIKC5apYlc9LzgTlisu8TJDZ&#10;n70+YHwpnWHJqLlWNtGGCg6vME6lv0tS2LobpTXFodKWDTVf0pfQgeaxpTkg03jihLbjDHRHgy5i&#10;GCHRadWk7Wk3hm5/rQM7QBqPvCwul3Nnf5Wls7eA/VQ3puYybROMHAdtbjUpNWmTrL1rTqNkWfLo&#10;Ekfe88ClKbnvk33/kW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3R6fSAAAABwEAAA8AAAAA&#10;AAAAAQAgAAAAIgAAAGRycy9kb3ducmV2LnhtbFBLAQIUABQAAAAIAIdO4kBbaLiU4QEAAKwDAAAO&#10;AAAAAAAAAAEAIAAAACEBAABkcnMvZTJvRG9jLnhtbFBLBQYAAAAABgAGAFkBAAB0BQAAAAA=&#10;">
              <v:fill on="f" focussize="0,0"/>
              <v:stroke weight="1.75pt" color="#005192"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67CF7"/>
    <w:multiLevelType w:val="singleLevel"/>
    <w:tmpl w:val="BBE67CF7"/>
    <w:lvl w:ilvl="0" w:tentative="0">
      <w:start w:val="4"/>
      <w:numFmt w:val="chineseCounting"/>
      <w:suff w:val="nothing"/>
      <w:lvlText w:val="%1、"/>
      <w:lvlJc w:val="left"/>
      <w:rPr>
        <w:rFonts w:hint="eastAsia"/>
      </w:rPr>
    </w:lvl>
  </w:abstractNum>
  <w:abstractNum w:abstractNumId="1">
    <w:nsid w:val="5FE59C28"/>
    <w:multiLevelType w:val="singleLevel"/>
    <w:tmpl w:val="5FE59C28"/>
    <w:lvl w:ilvl="0" w:tentative="0">
      <w:start w:val="1"/>
      <w:numFmt w:val="decimal"/>
      <w:suff w:val="nothing"/>
      <w:lvlText w:val="%1、"/>
      <w:lvlJc w:val="left"/>
    </w:lvl>
  </w:abstractNum>
  <w:abstractNum w:abstractNumId="2">
    <w:nsid w:val="603F7616"/>
    <w:multiLevelType w:val="singleLevel"/>
    <w:tmpl w:val="603F7616"/>
    <w:lvl w:ilvl="0" w:tentative="0">
      <w:start w:val="1"/>
      <w:numFmt w:val="chineseCounting"/>
      <w:suff w:val="nothing"/>
      <w:lvlText w:val="（%1）"/>
      <w:lvlJc w:val="left"/>
    </w:lvl>
  </w:abstractNum>
  <w:abstractNum w:abstractNumId="3">
    <w:nsid w:val="60BAE77D"/>
    <w:multiLevelType w:val="singleLevel"/>
    <w:tmpl w:val="60BAE77D"/>
    <w:lvl w:ilvl="0" w:tentative="0">
      <w:start w:val="1"/>
      <w:numFmt w:val="chineseCounting"/>
      <w:suff w:val="nothing"/>
      <w:lvlText w:val="%1、"/>
      <w:lvlJc w:val="left"/>
    </w:lvl>
  </w:abstractNum>
  <w:abstractNum w:abstractNumId="4">
    <w:nsid w:val="60BAF61A"/>
    <w:multiLevelType w:val="singleLevel"/>
    <w:tmpl w:val="60BAF61A"/>
    <w:lvl w:ilvl="0" w:tentative="0">
      <w:start w:val="2"/>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trackRevisions w:val="1"/>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E55B6"/>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77E2E"/>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8726C"/>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C50B6C"/>
    <w:rsid w:val="057D1006"/>
    <w:rsid w:val="09771982"/>
    <w:rsid w:val="1A00123B"/>
    <w:rsid w:val="1C757CE2"/>
    <w:rsid w:val="20264985"/>
    <w:rsid w:val="234E00AF"/>
    <w:rsid w:val="235B1C57"/>
    <w:rsid w:val="27854499"/>
    <w:rsid w:val="2AFE107A"/>
    <w:rsid w:val="2C4959EC"/>
    <w:rsid w:val="2D0E53A7"/>
    <w:rsid w:val="2F1F4BAE"/>
    <w:rsid w:val="320E1020"/>
    <w:rsid w:val="33546CB8"/>
    <w:rsid w:val="33B95663"/>
    <w:rsid w:val="34DC344C"/>
    <w:rsid w:val="3B83169F"/>
    <w:rsid w:val="3CCF4893"/>
    <w:rsid w:val="3D0D5C68"/>
    <w:rsid w:val="3E31512A"/>
    <w:rsid w:val="3E350F4E"/>
    <w:rsid w:val="4B161173"/>
    <w:rsid w:val="4D702274"/>
    <w:rsid w:val="4E4E2756"/>
    <w:rsid w:val="4F8E4D79"/>
    <w:rsid w:val="50407AE2"/>
    <w:rsid w:val="50B531B2"/>
    <w:rsid w:val="53087649"/>
    <w:rsid w:val="53DC7A04"/>
    <w:rsid w:val="58CB2B0B"/>
    <w:rsid w:val="59666DED"/>
    <w:rsid w:val="615F77E0"/>
    <w:rsid w:val="61C112D7"/>
    <w:rsid w:val="62C75C90"/>
    <w:rsid w:val="656869E7"/>
    <w:rsid w:val="718E09C8"/>
    <w:rsid w:val="7629215B"/>
    <w:rsid w:val="77887F6A"/>
    <w:rsid w:val="7E7535BB"/>
    <w:rsid w:val="8DFE487E"/>
    <w:rsid w:val="9DBFDF2E"/>
    <w:rsid w:val="BC9FC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jc w:val="center"/>
      <w:outlineLvl w:val="0"/>
    </w:pPr>
    <w:rPr>
      <w:rFonts w:eastAsia="方正小标宋_GBK"/>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6797</Words>
  <Characters>6824</Characters>
  <Lines>51</Lines>
  <Paragraphs>14</Paragraphs>
  <TotalTime>7</TotalTime>
  <ScaleCrop>false</ScaleCrop>
  <LinksUpToDate>false</LinksUpToDate>
  <CharactersWithSpaces>7074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温星星</cp:lastModifiedBy>
  <cp:lastPrinted>2021-07-08T09:15:00Z</cp:lastPrinted>
  <dcterms:modified xsi:type="dcterms:W3CDTF">2025-06-16T01:40:53Z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eyJoZGlkIjoiNzc3NzU5NmE2ODY3MWUxMWNmODdhODQyM2ViNzc5YWMiLCJ1c2VySWQiOiIxMzIzODcwMDMzIn0=</vt:lpwstr>
  </property>
  <property fmtid="{D5CDD505-2E9C-101B-9397-08002B2CF9AE}" pid="4" name="ICV">
    <vt:lpwstr>3C46C847968F47D099F0B9C87D4955B5_13</vt:lpwstr>
  </property>
</Properties>
</file>