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AA1" w:rsidRPr="00A65F6D" w:rsidRDefault="0004066A">
      <w:pPr>
        <w:snapToGrid w:val="0"/>
        <w:ind w:firstLine="420"/>
        <w:jc w:val="center"/>
        <w:rPr>
          <w:rFonts w:ascii="方正小标宋_GBK" w:eastAsia="方正小标宋_GBK" w:hAnsi="宋体" w:cs="宋体"/>
          <w:kern w:val="0"/>
          <w:sz w:val="44"/>
          <w:szCs w:val="44"/>
        </w:rPr>
      </w:pPr>
      <w:r w:rsidRPr="00A65F6D">
        <w:rPr>
          <w:rFonts w:ascii="方正小标宋_GBK" w:eastAsia="方正小标宋_GBK" w:hAnsi="宋体" w:cs="宋体" w:hint="eastAsia"/>
          <w:kern w:val="0"/>
          <w:sz w:val="44"/>
          <w:szCs w:val="44"/>
        </w:rPr>
        <w:t>承担国家法定计量检定机构任务授权</w:t>
      </w:r>
    </w:p>
    <w:p w:rsidR="0065283E" w:rsidRPr="00A65F6D" w:rsidRDefault="008F0AA1">
      <w:pPr>
        <w:snapToGrid w:val="0"/>
        <w:ind w:firstLine="420"/>
        <w:jc w:val="center"/>
        <w:rPr>
          <w:rFonts w:ascii="方正小标宋_GBK" w:eastAsia="方正小标宋_GBK" w:cs="楷体_GB2312"/>
          <w:kern w:val="0"/>
          <w:sz w:val="44"/>
          <w:szCs w:val="44"/>
        </w:rPr>
      </w:pPr>
      <w:r w:rsidRPr="00A65F6D">
        <w:rPr>
          <w:rFonts w:ascii="方正小标宋_GBK" w:eastAsia="方正小标宋_GBK" w:cs="楷体_GB2312" w:hint="eastAsia"/>
          <w:kern w:val="0"/>
          <w:sz w:val="44"/>
          <w:szCs w:val="44"/>
        </w:rPr>
        <w:t>具体管理措施</w:t>
      </w:r>
    </w:p>
    <w:p w:rsidR="0065283E" w:rsidRPr="00A65F6D" w:rsidRDefault="0065283E">
      <w:pPr>
        <w:rPr>
          <w:rFonts w:eastAsia="楷体_GB2312" w:cs="楷体_GB2312"/>
          <w:kern w:val="0"/>
          <w:sz w:val="32"/>
          <w:szCs w:val="32"/>
        </w:rPr>
      </w:pPr>
      <w:bookmarkStart w:id="0" w:name="_GoBack"/>
      <w:bookmarkEnd w:id="0"/>
    </w:p>
    <w:p w:rsidR="0065283E" w:rsidRPr="00A65F6D" w:rsidRDefault="0004066A">
      <w:pPr>
        <w:numPr>
          <w:ilvl w:val="0"/>
          <w:numId w:val="1"/>
        </w:num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A65F6D">
        <w:rPr>
          <w:rFonts w:ascii="方正黑体_GBK" w:eastAsia="方正黑体_GBK" w:cs="楷体_GB2312" w:hint="eastAsia"/>
          <w:kern w:val="0"/>
          <w:sz w:val="32"/>
          <w:szCs w:val="32"/>
        </w:rPr>
        <w:t>责任处室</w:t>
      </w:r>
    </w:p>
    <w:p w:rsidR="0065283E" w:rsidRPr="00A65F6D" w:rsidRDefault="0004066A">
      <w:pPr>
        <w:spacing w:line="600" w:lineRule="exact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黑体_GBK" w:eastAsia="方正黑体_GBK" w:cs="楷体_GB2312"/>
          <w:kern w:val="0"/>
          <w:sz w:val="32"/>
          <w:szCs w:val="32"/>
        </w:rPr>
        <w:t xml:space="preserve">    </w:t>
      </w: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计量处</w:t>
      </w:r>
    </w:p>
    <w:p w:rsidR="0065283E" w:rsidRPr="00A65F6D" w:rsidRDefault="0004066A">
      <w:pPr>
        <w:spacing w:line="600" w:lineRule="exact"/>
        <w:ind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A65F6D">
        <w:rPr>
          <w:rFonts w:ascii="方正黑体_GBK" w:eastAsia="方正黑体_GBK" w:cs="楷体_GB2312" w:hint="eastAsia"/>
          <w:kern w:val="0"/>
          <w:sz w:val="32"/>
          <w:szCs w:val="32"/>
        </w:rPr>
        <w:t>二、改革内容</w:t>
      </w:r>
    </w:p>
    <w:p w:rsidR="0065283E" w:rsidRPr="00A65F6D" w:rsidRDefault="0004066A">
      <w:pPr>
        <w:spacing w:line="600" w:lineRule="exact"/>
        <w:ind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根据</w:t>
      </w:r>
      <w:r w:rsidR="00016754" w:rsidRPr="00A65F6D">
        <w:rPr>
          <w:rFonts w:ascii="方正仿宋_GBK" w:eastAsia="方正仿宋_GBK" w:hAnsi="Times New Roman" w:hint="eastAsia"/>
          <w:sz w:val="32"/>
        </w:rPr>
        <w:t>《重庆市人民政府关于印发重庆市深化“证照分离”改革进一步激发市场主体发展活力实施方案的通知》（渝府发〔2021〕16号）《市场监管总局关于充分发挥职能作用落实深化“证照分离”改革任务的通知》（国市监注发〔2021〕36号）</w:t>
      </w: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，对“承担国家法定计量检定任务机构任务授权”，由</w:t>
      </w:r>
      <w:r w:rsidR="00143EBD" w:rsidRPr="00A65F6D">
        <w:rPr>
          <w:rFonts w:ascii="方正仿宋_GBK" w:eastAsia="方正仿宋_GBK" w:cs="楷体_GB2312" w:hint="eastAsia"/>
          <w:kern w:val="0"/>
          <w:sz w:val="32"/>
          <w:szCs w:val="32"/>
        </w:rPr>
        <w:t>市、区县</w:t>
      </w: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市场监管部门优化审批服务：</w:t>
      </w:r>
    </w:p>
    <w:p w:rsidR="0065283E" w:rsidRPr="00A65F6D" w:rsidRDefault="0004066A">
      <w:pPr>
        <w:numPr>
          <w:ilvl w:val="0"/>
          <w:numId w:val="2"/>
        </w:numPr>
        <w:spacing w:line="600" w:lineRule="exact"/>
        <w:ind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实现申请、审批全程网上办理，并将审批信息统一归集至渝快办。</w:t>
      </w:r>
    </w:p>
    <w:p w:rsidR="0065283E" w:rsidRPr="00A65F6D" w:rsidRDefault="0004066A">
      <w:pPr>
        <w:numPr>
          <w:ilvl w:val="0"/>
          <w:numId w:val="2"/>
        </w:numPr>
        <w:spacing w:line="600" w:lineRule="exact"/>
        <w:ind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取消计量标准考核证书、计量检定或校准人员能力证明等申请材料。</w:t>
      </w:r>
    </w:p>
    <w:p w:rsidR="0065283E" w:rsidRPr="00A65F6D" w:rsidRDefault="0004066A">
      <w:pPr>
        <w:numPr>
          <w:ilvl w:val="0"/>
          <w:numId w:val="2"/>
        </w:numPr>
        <w:spacing w:line="600" w:lineRule="exact"/>
        <w:ind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对变更法定代表人、授权签字人等无需现场审查的事项，由法定计量检定机构自愿承诺符合相关要求，审批部门对承诺内容进行形式审查后办理。</w:t>
      </w:r>
    </w:p>
    <w:p w:rsidR="0065283E" w:rsidRPr="00A65F6D" w:rsidRDefault="0004066A">
      <w:pPr>
        <w:spacing w:line="600" w:lineRule="exact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/>
          <w:kern w:val="0"/>
          <w:sz w:val="32"/>
          <w:szCs w:val="32"/>
        </w:rPr>
        <w:t xml:space="preserve">    </w:t>
      </w:r>
      <w:r w:rsidRPr="00A65F6D">
        <w:rPr>
          <w:rFonts w:ascii="方正黑体_GBK" w:eastAsia="方正黑体_GBK" w:cs="楷体_GB2312" w:hint="eastAsia"/>
          <w:kern w:val="0"/>
          <w:sz w:val="32"/>
          <w:szCs w:val="32"/>
        </w:rPr>
        <w:t>三、法律依据</w:t>
      </w:r>
    </w:p>
    <w:p w:rsidR="002114A4" w:rsidRPr="00A65F6D" w:rsidRDefault="002114A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（一）</w:t>
      </w:r>
      <w:r w:rsidR="0004066A" w:rsidRPr="00A65F6D">
        <w:rPr>
          <w:rFonts w:ascii="方正仿宋_GBK" w:eastAsia="方正仿宋_GBK" w:cs="楷体_GB2312" w:hint="eastAsia"/>
          <w:kern w:val="0"/>
          <w:sz w:val="32"/>
          <w:szCs w:val="32"/>
        </w:rPr>
        <w:t>《中华人民共和国计量法》</w:t>
      </w:r>
    </w:p>
    <w:p w:rsidR="0065283E" w:rsidRPr="00A65F6D" w:rsidRDefault="002114A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（二）</w:t>
      </w:r>
      <w:r w:rsidR="0004066A" w:rsidRPr="00A65F6D">
        <w:rPr>
          <w:rFonts w:ascii="方正仿宋_GBK" w:eastAsia="方正仿宋_GBK" w:cs="楷体_GB2312" w:hint="eastAsia"/>
          <w:kern w:val="0"/>
          <w:sz w:val="32"/>
          <w:szCs w:val="32"/>
        </w:rPr>
        <w:t>《法定计量检定机构监督管理办法》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A65F6D">
        <w:rPr>
          <w:rFonts w:ascii="方正黑体_GBK" w:eastAsia="方正黑体_GBK" w:cs="楷体_GB2312" w:hint="eastAsia"/>
          <w:kern w:val="0"/>
          <w:sz w:val="32"/>
          <w:szCs w:val="32"/>
        </w:rPr>
        <w:t>四、许可条件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lastRenderedPageBreak/>
        <w:t>计量标准、检测装置和配套设施必须与申请授权项目相适应，满足授权任务的要求。工作环境能适应授权任务的需要，保证有关计量检定、测试工作的正常进行。检定、测试人员必须适应授权任务的需要，掌握有关专业知识和计量检定、测试技术，并经考核合格。具有保证计量检定、测试结果公正、准确的工作制度和管理制度。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具备申请人条件，符合《计量法》的需要，且通过</w:t>
      </w:r>
      <w:bookmarkStart w:id="1" w:name="OLE_LINK2"/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《法定计量检定机构考核规范》考核的，</w:t>
      </w:r>
      <w:bookmarkEnd w:id="1"/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准予批准。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未通过《法定计量检定机构考核规范》考核的，不予批准。对于已受理的行政许可申请，经审查，认为申请人不具备法律规定条件或者不符合法律法规要求的，不予许可。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A65F6D">
        <w:rPr>
          <w:rFonts w:ascii="方正黑体_GBK" w:eastAsia="方正黑体_GBK" w:cs="楷体_GB2312" w:hint="eastAsia"/>
          <w:kern w:val="0"/>
          <w:sz w:val="32"/>
          <w:szCs w:val="32"/>
        </w:rPr>
        <w:t xml:space="preserve">五、材料要求   </w:t>
      </w:r>
    </w:p>
    <w:p w:rsidR="001E05C2" w:rsidRPr="00A65F6D" w:rsidRDefault="00C2441F" w:rsidP="001E05C2">
      <w:pPr>
        <w:autoSpaceDN w:val="0"/>
        <w:spacing w:line="594" w:lineRule="exact"/>
        <w:ind w:firstLineChars="200" w:firstLine="640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（一）</w:t>
      </w:r>
      <w:r w:rsidR="001E05C2" w:rsidRPr="00A65F6D">
        <w:rPr>
          <w:rFonts w:ascii="方正仿宋_GBK" w:eastAsia="方正仿宋_GBK" w:cs="楷体_GB2312" w:hint="eastAsia"/>
          <w:kern w:val="0"/>
          <w:sz w:val="32"/>
          <w:szCs w:val="32"/>
        </w:rPr>
        <w:t>授权申请书。</w:t>
      </w:r>
    </w:p>
    <w:p w:rsidR="001E05C2" w:rsidRPr="00A65F6D" w:rsidRDefault="00C2441F" w:rsidP="001E05C2">
      <w:pPr>
        <w:autoSpaceDN w:val="0"/>
        <w:spacing w:line="594" w:lineRule="exact"/>
        <w:ind w:firstLineChars="200" w:firstLine="640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（二）</w:t>
      </w:r>
      <w:r w:rsidR="001E05C2" w:rsidRPr="00A65F6D">
        <w:rPr>
          <w:rFonts w:ascii="方正仿宋_GBK" w:eastAsia="方正仿宋_GBK" w:cs="楷体_GB2312" w:hint="eastAsia"/>
          <w:kern w:val="0"/>
          <w:sz w:val="32"/>
          <w:szCs w:val="32"/>
        </w:rPr>
        <w:t>法定计量检定机构考核申请书和项目表。</w:t>
      </w:r>
    </w:p>
    <w:p w:rsidR="001E05C2" w:rsidRPr="00A65F6D" w:rsidRDefault="00C2441F" w:rsidP="001E05C2">
      <w:pPr>
        <w:autoSpaceDN w:val="0"/>
        <w:spacing w:line="594" w:lineRule="exact"/>
        <w:ind w:firstLineChars="200" w:firstLine="640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（三）</w:t>
      </w:r>
      <w:r w:rsidR="001E05C2" w:rsidRPr="00A65F6D">
        <w:rPr>
          <w:rFonts w:ascii="方正仿宋_GBK" w:eastAsia="方正仿宋_GBK" w:cs="楷体_GB2312" w:hint="eastAsia"/>
          <w:kern w:val="0"/>
          <w:sz w:val="32"/>
          <w:szCs w:val="32"/>
        </w:rPr>
        <w:t>考核规范与质量管理体系文件对照检查表。</w:t>
      </w:r>
    </w:p>
    <w:p w:rsidR="001E05C2" w:rsidRPr="00A65F6D" w:rsidRDefault="00C2441F" w:rsidP="001E05C2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（四）</w:t>
      </w:r>
      <w:r w:rsidR="001E05C2" w:rsidRPr="00A65F6D">
        <w:rPr>
          <w:rFonts w:ascii="方正仿宋_GBK" w:eastAsia="方正仿宋_GBK" w:cs="楷体_GB2312" w:hint="eastAsia"/>
          <w:kern w:val="0"/>
          <w:sz w:val="32"/>
          <w:szCs w:val="32"/>
        </w:rPr>
        <w:t>质量手册。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A65F6D">
        <w:rPr>
          <w:rFonts w:ascii="方正黑体_GBK" w:eastAsia="方正黑体_GBK" w:cs="楷体_GB2312" w:hint="eastAsia"/>
          <w:kern w:val="0"/>
          <w:sz w:val="32"/>
          <w:szCs w:val="32"/>
        </w:rPr>
        <w:t>六、程序环节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（一）审批层级</w:t>
      </w:r>
    </w:p>
    <w:p w:rsidR="0065283E" w:rsidRPr="00A65F6D" w:rsidRDefault="00AF0EB7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受理机构：</w:t>
      </w:r>
      <w:r w:rsidR="0004066A" w:rsidRPr="00A65F6D">
        <w:rPr>
          <w:rFonts w:ascii="方正仿宋_GBK" w:eastAsia="方正仿宋_GBK" w:cs="楷体_GB2312" w:hint="eastAsia"/>
          <w:kern w:val="0"/>
          <w:sz w:val="32"/>
          <w:szCs w:val="32"/>
        </w:rPr>
        <w:t>市市场监管局、各区县市场监管局</w:t>
      </w:r>
    </w:p>
    <w:p w:rsidR="00AF0EB7" w:rsidRPr="00A65F6D" w:rsidRDefault="00AF0EB7" w:rsidP="00AF0EB7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决定机构：市市场监管局、各区县市场监管局</w:t>
      </w:r>
    </w:p>
    <w:p w:rsidR="0065283E" w:rsidRPr="00A65F6D" w:rsidRDefault="0004066A">
      <w:pPr>
        <w:numPr>
          <w:ilvl w:val="0"/>
          <w:numId w:val="3"/>
        </w:num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办理流程</w:t>
      </w:r>
    </w:p>
    <w:p w:rsidR="0065283E" w:rsidRPr="00A65F6D" w:rsidRDefault="0004066A">
      <w:pPr>
        <w:adjustRightInd w:val="0"/>
        <w:snapToGrid w:val="0"/>
        <w:spacing w:line="580" w:lineRule="exact"/>
        <w:ind w:firstLineChars="300" w:firstLine="960"/>
        <w:rPr>
          <w:rFonts w:ascii="方正仿宋_GBK" w:eastAsia="方正仿宋_GBK"/>
          <w:sz w:val="32"/>
          <w:szCs w:val="32"/>
        </w:rPr>
      </w:pPr>
      <w:r w:rsidRPr="00A65F6D">
        <w:rPr>
          <w:rFonts w:ascii="方正仿宋_GBK" w:eastAsia="方正仿宋_GBK"/>
          <w:sz w:val="32"/>
          <w:szCs w:val="32"/>
        </w:rPr>
        <w:t xml:space="preserve">1. </w:t>
      </w:r>
      <w:r w:rsidRPr="00A65F6D">
        <w:rPr>
          <w:rFonts w:ascii="方正仿宋_GBK" w:eastAsia="方正仿宋_GBK" w:hint="eastAsia"/>
          <w:sz w:val="32"/>
          <w:szCs w:val="32"/>
        </w:rPr>
        <w:t>受理</w:t>
      </w:r>
    </w:p>
    <w:p w:rsidR="0065283E" w:rsidRPr="00A65F6D" w:rsidRDefault="0004066A">
      <w:pPr>
        <w:adjustRightInd w:val="0"/>
        <w:snapToGrid w:val="0"/>
        <w:spacing w:line="580" w:lineRule="exact"/>
        <w:ind w:firstLineChars="300" w:firstLine="960"/>
        <w:rPr>
          <w:rFonts w:ascii="方正仿宋_GBK" w:eastAsia="方正仿宋_GBK"/>
          <w:sz w:val="32"/>
          <w:szCs w:val="32"/>
        </w:rPr>
      </w:pPr>
      <w:r w:rsidRPr="00A65F6D">
        <w:rPr>
          <w:rFonts w:ascii="方正仿宋_GBK" w:eastAsia="方正仿宋_GBK"/>
          <w:sz w:val="32"/>
          <w:szCs w:val="32"/>
        </w:rPr>
        <w:t xml:space="preserve">2. </w:t>
      </w:r>
      <w:r w:rsidRPr="00A65F6D">
        <w:rPr>
          <w:rFonts w:ascii="方正仿宋_GBK" w:eastAsia="方正仿宋_GBK" w:hint="eastAsia"/>
          <w:sz w:val="32"/>
          <w:szCs w:val="32"/>
        </w:rPr>
        <w:t>现场技术评审</w:t>
      </w:r>
    </w:p>
    <w:p w:rsidR="0065283E" w:rsidRPr="00A65F6D" w:rsidRDefault="0004066A">
      <w:pPr>
        <w:adjustRightInd w:val="0"/>
        <w:snapToGrid w:val="0"/>
        <w:spacing w:line="580" w:lineRule="exact"/>
        <w:ind w:firstLineChars="300" w:firstLine="960"/>
        <w:rPr>
          <w:rFonts w:ascii="方正仿宋_GBK" w:eastAsia="方正仿宋_GBK"/>
          <w:sz w:val="32"/>
          <w:szCs w:val="32"/>
        </w:rPr>
      </w:pPr>
      <w:r w:rsidRPr="00A65F6D">
        <w:rPr>
          <w:rFonts w:ascii="方正仿宋_GBK" w:eastAsia="方正仿宋_GBK"/>
          <w:sz w:val="32"/>
          <w:szCs w:val="32"/>
        </w:rPr>
        <w:lastRenderedPageBreak/>
        <w:t xml:space="preserve">3. </w:t>
      </w:r>
      <w:r w:rsidRPr="00A65F6D">
        <w:rPr>
          <w:rFonts w:ascii="方正仿宋_GBK" w:eastAsia="方正仿宋_GBK" w:hint="eastAsia"/>
          <w:sz w:val="32"/>
          <w:szCs w:val="32"/>
        </w:rPr>
        <w:t>受理机构复审</w:t>
      </w:r>
    </w:p>
    <w:p w:rsidR="0065283E" w:rsidRPr="00A65F6D" w:rsidRDefault="0004066A">
      <w:pPr>
        <w:adjustRightInd w:val="0"/>
        <w:snapToGrid w:val="0"/>
        <w:spacing w:line="580" w:lineRule="exact"/>
        <w:ind w:firstLineChars="300" w:firstLine="960"/>
        <w:rPr>
          <w:rFonts w:ascii="方正仿宋_GBK" w:eastAsia="方正仿宋_GBK"/>
          <w:sz w:val="32"/>
          <w:szCs w:val="32"/>
        </w:rPr>
      </w:pPr>
      <w:r w:rsidRPr="00A65F6D">
        <w:rPr>
          <w:rFonts w:ascii="方正仿宋_GBK" w:eastAsia="方正仿宋_GBK"/>
          <w:sz w:val="32"/>
          <w:szCs w:val="32"/>
        </w:rPr>
        <w:t xml:space="preserve">4. </w:t>
      </w:r>
      <w:r w:rsidRPr="00A65F6D">
        <w:rPr>
          <w:rFonts w:ascii="方正仿宋_GBK" w:eastAsia="方正仿宋_GBK" w:hint="eastAsia"/>
          <w:sz w:val="32"/>
          <w:szCs w:val="32"/>
        </w:rPr>
        <w:t>受理机构决定</w:t>
      </w:r>
    </w:p>
    <w:p w:rsidR="0065283E" w:rsidRPr="00A65F6D" w:rsidRDefault="0004066A">
      <w:pPr>
        <w:adjustRightInd w:val="0"/>
        <w:snapToGrid w:val="0"/>
        <w:spacing w:line="580" w:lineRule="exact"/>
        <w:ind w:firstLineChars="300" w:firstLine="960"/>
        <w:rPr>
          <w:rFonts w:ascii="方正仿宋_GBK" w:eastAsia="方正仿宋_GBK"/>
          <w:sz w:val="32"/>
          <w:szCs w:val="32"/>
        </w:rPr>
      </w:pPr>
      <w:r w:rsidRPr="00A65F6D">
        <w:rPr>
          <w:rFonts w:ascii="方正仿宋_GBK" w:eastAsia="方正仿宋_GBK"/>
          <w:sz w:val="32"/>
          <w:szCs w:val="32"/>
        </w:rPr>
        <w:t xml:space="preserve">5. </w:t>
      </w:r>
      <w:r w:rsidRPr="00A65F6D">
        <w:rPr>
          <w:rFonts w:ascii="方正仿宋_GBK" w:eastAsia="方正仿宋_GBK" w:hint="eastAsia"/>
          <w:sz w:val="32"/>
          <w:szCs w:val="32"/>
        </w:rPr>
        <w:t>根据决定机构的办理流程制证、发证</w:t>
      </w:r>
    </w:p>
    <w:p w:rsidR="0065283E" w:rsidRPr="00A65F6D" w:rsidRDefault="0004066A">
      <w:pPr>
        <w:numPr>
          <w:ilvl w:val="0"/>
          <w:numId w:val="3"/>
        </w:num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A65F6D">
        <w:rPr>
          <w:rFonts w:ascii="方正仿宋_GBK" w:eastAsia="方正仿宋_GBK" w:cs="楷体_GB2312" w:hint="eastAsia"/>
          <w:kern w:val="0"/>
          <w:sz w:val="32"/>
          <w:szCs w:val="32"/>
        </w:rPr>
        <w:t>办理时限（法定时限、承诺时限）</w:t>
      </w:r>
    </w:p>
    <w:p w:rsidR="0065283E" w:rsidRPr="00A65F6D" w:rsidRDefault="0004066A">
      <w:pPr>
        <w:adjustRightInd w:val="0"/>
        <w:snapToGrid w:val="0"/>
        <w:spacing w:line="58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 w:rsidRPr="00A65F6D">
        <w:rPr>
          <w:rFonts w:ascii="方正仿宋_GBK" w:eastAsia="方正仿宋_GBK" w:hAnsi="宋体" w:hint="eastAsia"/>
          <w:sz w:val="32"/>
          <w:szCs w:val="32"/>
        </w:rPr>
        <w:t>法定时限：</w:t>
      </w:r>
      <w:r w:rsidRPr="00A65F6D">
        <w:rPr>
          <w:rFonts w:ascii="方正仿宋_GBK" w:eastAsia="方正仿宋_GBK" w:hAnsi="宋体"/>
          <w:sz w:val="32"/>
          <w:szCs w:val="32"/>
        </w:rPr>
        <w:t>100个工作日。承诺时限：75个工作日。</w:t>
      </w:r>
    </w:p>
    <w:p w:rsidR="0065283E" w:rsidRPr="00A65F6D" w:rsidRDefault="0004066A">
      <w:pPr>
        <w:adjustRightInd w:val="0"/>
        <w:snapToGrid w:val="0"/>
        <w:spacing w:line="580" w:lineRule="exact"/>
        <w:ind w:firstLineChars="200" w:firstLine="640"/>
        <w:rPr>
          <w:rFonts w:ascii="方正仿宋_GBK" w:eastAsia="方正仿宋_GBK" w:hAnsi="黑体"/>
          <w:b/>
          <w:sz w:val="32"/>
          <w:szCs w:val="32"/>
        </w:rPr>
      </w:pPr>
      <w:r w:rsidRPr="00A65F6D">
        <w:rPr>
          <w:rFonts w:ascii="方正仿宋_GBK" w:eastAsia="方正仿宋_GBK" w:hAnsi="宋体" w:hint="eastAsia"/>
          <w:sz w:val="32"/>
          <w:szCs w:val="32"/>
        </w:rPr>
        <w:t>变更机构名称</w:t>
      </w:r>
      <w:r w:rsidRPr="00A65F6D">
        <w:rPr>
          <w:rFonts w:ascii="方正仿宋_GBK" w:eastAsia="方正仿宋_GBK" w:hAnsi="宋体"/>
          <w:sz w:val="32"/>
          <w:szCs w:val="32"/>
        </w:rPr>
        <w:t>、</w:t>
      </w:r>
      <w:r w:rsidRPr="00A65F6D">
        <w:rPr>
          <w:rFonts w:ascii="方正仿宋_GBK" w:eastAsia="方正仿宋_GBK" w:hAnsi="宋体" w:hint="eastAsia"/>
          <w:sz w:val="32"/>
          <w:szCs w:val="32"/>
        </w:rPr>
        <w:t>申请中止授权项目</w:t>
      </w:r>
      <w:r w:rsidRPr="00A65F6D">
        <w:rPr>
          <w:rFonts w:ascii="方正仿宋_GBK" w:eastAsia="方正仿宋_GBK" w:hAnsi="宋体"/>
          <w:sz w:val="32"/>
          <w:szCs w:val="32"/>
        </w:rPr>
        <w:t>等无需现场审查的事项办结时限</w:t>
      </w:r>
      <w:r w:rsidRPr="00A65F6D">
        <w:rPr>
          <w:rFonts w:ascii="方正仿宋_GBK" w:eastAsia="方正仿宋_GBK" w:hAnsi="宋体" w:hint="eastAsia"/>
          <w:sz w:val="32"/>
          <w:szCs w:val="32"/>
        </w:rPr>
        <w:t>：</w:t>
      </w:r>
      <w:r w:rsidRPr="00A65F6D">
        <w:rPr>
          <w:rFonts w:ascii="方正仿宋_GBK" w:eastAsia="方正仿宋_GBK" w:hAnsi="宋体"/>
          <w:sz w:val="32"/>
          <w:szCs w:val="32"/>
        </w:rPr>
        <w:t>5个工作日</w:t>
      </w:r>
      <w:r w:rsidRPr="00A65F6D">
        <w:rPr>
          <w:rFonts w:ascii="方正仿宋_GBK" w:eastAsia="方正仿宋_GBK" w:hAnsi="黑体" w:hint="eastAsia"/>
          <w:b/>
          <w:sz w:val="32"/>
          <w:szCs w:val="32"/>
        </w:rPr>
        <w:t>。</w:t>
      </w:r>
    </w:p>
    <w:p w:rsidR="0065283E" w:rsidRPr="00A65F6D" w:rsidRDefault="0004066A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A65F6D">
        <w:rPr>
          <w:rFonts w:ascii="方正黑体_GBK" w:eastAsia="方正黑体_GBK" w:cs="楷体_GB2312" w:hint="eastAsia"/>
          <w:kern w:val="0"/>
          <w:sz w:val="32"/>
          <w:szCs w:val="32"/>
        </w:rPr>
        <w:t>七、监管措施</w:t>
      </w:r>
    </w:p>
    <w:p w:rsidR="0065283E" w:rsidRPr="00A65F6D" w:rsidRDefault="0004066A">
      <w:pPr>
        <w:widowControl w:val="0"/>
        <w:spacing w:line="520" w:lineRule="exact"/>
        <w:ind w:firstLineChars="200" w:firstLine="643"/>
        <w:rPr>
          <w:rFonts w:ascii="方正仿宋_GBK" w:eastAsia="方正仿宋_GBK" w:hAnsi="方正仿宋_GBK" w:cs="方正仿宋_GBK"/>
          <w:sz w:val="32"/>
          <w:szCs w:val="32"/>
        </w:rPr>
      </w:pPr>
      <w:r w:rsidRPr="00A65F6D">
        <w:rPr>
          <w:rFonts w:ascii="方正楷体_GBK" w:eastAsia="方正楷体_GBK" w:hAnsi="方正楷体_GBK" w:hint="eastAsia"/>
          <w:b/>
          <w:sz w:val="32"/>
          <w:szCs w:val="32"/>
        </w:rPr>
        <w:t>（一）加强证后监管。</w:t>
      </w:r>
      <w:r w:rsidRPr="00A65F6D">
        <w:rPr>
          <w:rFonts w:ascii="方正仿宋_GBK" w:eastAsia="方正仿宋_GBK" w:hAnsi="方正仿宋_GBK" w:cs="方正仿宋_GBK" w:hint="eastAsia"/>
          <w:sz w:val="32"/>
          <w:szCs w:val="32"/>
        </w:rPr>
        <w:t>按“双随机、一公开”要求开展证后监管，每年按</w:t>
      </w:r>
      <w:r w:rsidRPr="00A65F6D">
        <w:rPr>
          <w:rFonts w:ascii="方正仿宋_GBK" w:eastAsia="方正仿宋_GBK" w:hAnsi="方正仿宋_GBK" w:cs="方正仿宋_GBK"/>
          <w:sz w:val="32"/>
          <w:szCs w:val="32"/>
        </w:rPr>
        <w:t>20%</w:t>
      </w:r>
      <w:r w:rsidRPr="00A65F6D">
        <w:rPr>
          <w:rFonts w:ascii="方正仿宋_GBK" w:eastAsia="方正仿宋_GBK" w:hAnsi="方正仿宋_GBK" w:cs="方正仿宋_GBK" w:hint="eastAsia"/>
          <w:sz w:val="32"/>
          <w:szCs w:val="32"/>
        </w:rPr>
        <w:t>的比例抽取当年监管机构名单，并进行公开。证后监管工作的人员每次不少于</w:t>
      </w:r>
      <w:r w:rsidRPr="00A65F6D">
        <w:rPr>
          <w:rFonts w:ascii="方正仿宋_GBK" w:eastAsia="方正仿宋_GBK" w:hAnsi="方正仿宋_GBK" w:cs="方正仿宋_GBK"/>
          <w:sz w:val="32"/>
          <w:szCs w:val="32"/>
        </w:rPr>
        <w:t>2人，监管内容包括组织机构和管理情况、质量管理体系及法律法规的实施情况、社会公用计量标准测量设备的配置及溯源情况、计量检定人员操作的规范性、计量检定原始记录和数据的真实性、完整性及规范性、计量检定证书、报告的正确性及完整性、计量检定人员持证情况、顾客投诉处理情况等。证后监管中应当采用现场检查、查阅资料、现场询问等多种方式，对获证机构是否保持获证状态进行全面、详细的检查。证后监管有关工作情况应当形成书面记录，并经相关各方面签字确认后生效。对证后监管中发现的问题责令机构限期整改，经整改后仍不合格的，按照相关法律法规进行处理。</w:t>
      </w:r>
    </w:p>
    <w:p w:rsidR="0065283E" w:rsidRPr="00A65F6D" w:rsidRDefault="0004066A">
      <w:pPr>
        <w:widowControl w:val="0"/>
        <w:spacing w:line="520" w:lineRule="exact"/>
        <w:ind w:firstLineChars="200" w:firstLine="643"/>
        <w:rPr>
          <w:rFonts w:ascii="方正仿宋_GBK" w:eastAsia="方正仿宋_GBK" w:hAnsi="方正黑体_GBK"/>
          <w:sz w:val="32"/>
          <w:szCs w:val="32"/>
        </w:rPr>
      </w:pPr>
      <w:r w:rsidRPr="00A65F6D">
        <w:rPr>
          <w:rFonts w:ascii="方正楷体_GBK" w:eastAsia="方正楷体_GBK" w:hAnsi="方正楷体_GBK" w:hint="eastAsia"/>
          <w:b/>
          <w:sz w:val="32"/>
          <w:szCs w:val="32"/>
        </w:rPr>
        <w:t>（二）加强日常监管</w:t>
      </w:r>
      <w:r w:rsidRPr="00A65F6D">
        <w:rPr>
          <w:rFonts w:ascii="方正仿宋_GBK" w:eastAsia="方正仿宋_GBK" w:hAnsi="方正楷体_GBK" w:hint="eastAsia"/>
          <w:sz w:val="32"/>
          <w:szCs w:val="32"/>
        </w:rPr>
        <w:t>。</w:t>
      </w:r>
      <w:r w:rsidRPr="00A65F6D">
        <w:rPr>
          <w:rFonts w:ascii="方正仿宋_GBK" w:eastAsia="方正仿宋_GBK" w:hAnsi="方正仿宋_GBK" w:cs="方正仿宋_GBK" w:hint="eastAsia"/>
          <w:sz w:val="32"/>
          <w:szCs w:val="32"/>
        </w:rPr>
        <w:t>将获证机构相关信息纳入全市企事业单位信用平台，对失信主体开展联合惩戒。及时向社会公开有关信息畅通信息渠道，向社会公开法定计量机构监督电话，并通过</w:t>
      </w:r>
      <w:r w:rsidRPr="00A65F6D">
        <w:rPr>
          <w:rFonts w:ascii="方正仿宋_GBK" w:eastAsia="方正仿宋_GBK" w:hAnsi="方正仿宋_GBK" w:cs="方正仿宋_GBK"/>
          <w:sz w:val="32"/>
          <w:szCs w:val="32"/>
        </w:rPr>
        <w:t>12315、市局政府公众信息网等渠道多方面收集获证机构有关信息，对收到的投诉举报及时进行处理并限期改正，对</w:t>
      </w:r>
      <w:r w:rsidRPr="00A65F6D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通过投诉举报等渠道反映问题多的机构实施重点监管，发现违法行为及时依法查处。</w:t>
      </w:r>
    </w:p>
    <w:p w:rsidR="0065283E" w:rsidRPr="00A65F6D" w:rsidRDefault="0004066A">
      <w:pPr>
        <w:widowControl w:val="0"/>
        <w:spacing w:line="520" w:lineRule="exact"/>
        <w:ind w:firstLineChars="200" w:firstLine="643"/>
        <w:rPr>
          <w:rFonts w:ascii="方正仿宋_GBK" w:eastAsia="方正仿宋_GBK" w:hAnsi="方正仿宋_GBK" w:cs="方正仿宋_GBK"/>
          <w:sz w:val="32"/>
          <w:szCs w:val="32"/>
        </w:rPr>
      </w:pPr>
      <w:r w:rsidRPr="00A65F6D">
        <w:rPr>
          <w:rFonts w:ascii="方正楷体_GBK" w:eastAsia="方正楷体_GBK" w:hAnsi="方正楷体_GBK" w:hint="eastAsia"/>
          <w:b/>
          <w:sz w:val="32"/>
          <w:szCs w:val="32"/>
        </w:rPr>
        <w:t>（三）实现信息互通。</w:t>
      </w:r>
      <w:bookmarkStart w:id="2" w:name="OLE_LINK8"/>
      <w:r w:rsidRPr="00A65F6D">
        <w:rPr>
          <w:rFonts w:ascii="方正仿宋_GBK" w:eastAsia="方正仿宋_GBK" w:hAnsi="方正仿宋_GBK" w:cs="方正仿宋_GBK" w:hint="eastAsia"/>
          <w:sz w:val="32"/>
          <w:szCs w:val="32"/>
        </w:rPr>
        <w:t>根据历年证后监管及日常监管信息，建立并完善授权机构运行信息台账，</w:t>
      </w:r>
      <w:bookmarkEnd w:id="2"/>
      <w:r w:rsidRPr="00A65F6D">
        <w:rPr>
          <w:rFonts w:ascii="方正仿宋_GBK" w:eastAsia="方正仿宋_GBK" w:hAnsi="方正仿宋_GBK" w:cs="方正仿宋_GBK" w:hint="eastAsia"/>
          <w:sz w:val="32"/>
          <w:szCs w:val="32"/>
        </w:rPr>
        <w:t>对各机构运行情况进行分析，实现市局、区县局、技术机构及技术专家之间的信息互通与运用，提高技术机构的管理水平与监管效率。</w:t>
      </w:r>
    </w:p>
    <w:p w:rsidR="0065283E" w:rsidRPr="00A65F6D" w:rsidRDefault="0065283E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</w:p>
    <w:p w:rsidR="0065283E" w:rsidRPr="00A65F6D" w:rsidRDefault="0065283E">
      <w:pPr>
        <w:snapToGrid w:val="0"/>
        <w:ind w:firstLine="420"/>
        <w:jc w:val="center"/>
        <w:rPr>
          <w:rFonts w:ascii="方正小标宋_GBK" w:eastAsia="方正小标宋_GBK" w:hAnsi="宋体" w:cs="宋体"/>
          <w:kern w:val="0"/>
          <w:sz w:val="44"/>
          <w:szCs w:val="44"/>
        </w:rPr>
      </w:pPr>
    </w:p>
    <w:sectPr w:rsidR="0065283E" w:rsidRPr="00A65F6D">
      <w:pgSz w:w="11906" w:h="16838"/>
      <w:pgMar w:top="1418" w:right="1474" w:bottom="1134" w:left="1588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07C" w:rsidRDefault="0094207C" w:rsidP="004630BC">
      <w:r>
        <w:separator/>
      </w:r>
    </w:p>
  </w:endnote>
  <w:endnote w:type="continuationSeparator" w:id="0">
    <w:p w:rsidR="0094207C" w:rsidRDefault="0094207C" w:rsidP="0046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07C" w:rsidRDefault="0094207C" w:rsidP="004630BC">
      <w:r>
        <w:separator/>
      </w:r>
    </w:p>
  </w:footnote>
  <w:footnote w:type="continuationSeparator" w:id="0">
    <w:p w:rsidR="0094207C" w:rsidRDefault="0094207C" w:rsidP="0046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BFF06"/>
    <w:multiLevelType w:val="singleLevel"/>
    <w:tmpl w:val="60EBFF06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60EC073B"/>
    <w:multiLevelType w:val="singleLevel"/>
    <w:tmpl w:val="60EC073B"/>
    <w:lvl w:ilvl="0">
      <w:start w:val="2"/>
      <w:numFmt w:val="chineseCounting"/>
      <w:suff w:val="nothing"/>
      <w:lvlText w:val="（%1）"/>
      <w:lvlJc w:val="left"/>
    </w:lvl>
  </w:abstractNum>
  <w:abstractNum w:abstractNumId="2" w15:restartNumberingAfterBreak="0">
    <w:nsid w:val="60ED3947"/>
    <w:multiLevelType w:val="singleLevel"/>
    <w:tmpl w:val="60ED3947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024"/>
    <w:rsid w:val="000020A6"/>
    <w:rsid w:val="00016754"/>
    <w:rsid w:val="0004066A"/>
    <w:rsid w:val="00082190"/>
    <w:rsid w:val="00094607"/>
    <w:rsid w:val="000F5F8E"/>
    <w:rsid w:val="00132731"/>
    <w:rsid w:val="00143EBD"/>
    <w:rsid w:val="001E05C2"/>
    <w:rsid w:val="0020257D"/>
    <w:rsid w:val="002114A4"/>
    <w:rsid w:val="00291A07"/>
    <w:rsid w:val="002A2028"/>
    <w:rsid w:val="002B59E8"/>
    <w:rsid w:val="002E3F98"/>
    <w:rsid w:val="00302410"/>
    <w:rsid w:val="00394B50"/>
    <w:rsid w:val="004233E4"/>
    <w:rsid w:val="004239F3"/>
    <w:rsid w:val="004504C8"/>
    <w:rsid w:val="004630BC"/>
    <w:rsid w:val="00463720"/>
    <w:rsid w:val="004657BD"/>
    <w:rsid w:val="004D39EE"/>
    <w:rsid w:val="00536A04"/>
    <w:rsid w:val="005924D4"/>
    <w:rsid w:val="005E3D64"/>
    <w:rsid w:val="0065283E"/>
    <w:rsid w:val="006A2024"/>
    <w:rsid w:val="006C4701"/>
    <w:rsid w:val="006D45C3"/>
    <w:rsid w:val="00724D8E"/>
    <w:rsid w:val="00751E2E"/>
    <w:rsid w:val="007E3FEB"/>
    <w:rsid w:val="0081199A"/>
    <w:rsid w:val="008207B5"/>
    <w:rsid w:val="008323AB"/>
    <w:rsid w:val="0086197A"/>
    <w:rsid w:val="008A099D"/>
    <w:rsid w:val="008A47D2"/>
    <w:rsid w:val="008F0AA1"/>
    <w:rsid w:val="0094207C"/>
    <w:rsid w:val="009431B7"/>
    <w:rsid w:val="00973512"/>
    <w:rsid w:val="00976EB1"/>
    <w:rsid w:val="00A264C3"/>
    <w:rsid w:val="00A322ED"/>
    <w:rsid w:val="00A65F6D"/>
    <w:rsid w:val="00A90ABA"/>
    <w:rsid w:val="00AD0E54"/>
    <w:rsid w:val="00AD76B5"/>
    <w:rsid w:val="00AF0EB7"/>
    <w:rsid w:val="00B7093C"/>
    <w:rsid w:val="00BA1C25"/>
    <w:rsid w:val="00BA6521"/>
    <w:rsid w:val="00C2441F"/>
    <w:rsid w:val="00C32271"/>
    <w:rsid w:val="00C437DA"/>
    <w:rsid w:val="00C9236A"/>
    <w:rsid w:val="00CC098E"/>
    <w:rsid w:val="00D514B5"/>
    <w:rsid w:val="00DC024B"/>
    <w:rsid w:val="00DD1216"/>
    <w:rsid w:val="00E2265E"/>
    <w:rsid w:val="00E34011"/>
    <w:rsid w:val="00E3460D"/>
    <w:rsid w:val="00EA21A6"/>
    <w:rsid w:val="00EC70DB"/>
    <w:rsid w:val="00FA6958"/>
    <w:rsid w:val="04C271CC"/>
    <w:rsid w:val="0DA352BB"/>
    <w:rsid w:val="14B270A9"/>
    <w:rsid w:val="24FF04F7"/>
    <w:rsid w:val="25E03813"/>
    <w:rsid w:val="3552780F"/>
    <w:rsid w:val="393E4257"/>
    <w:rsid w:val="3F163474"/>
    <w:rsid w:val="48F46F89"/>
    <w:rsid w:val="50A930A0"/>
    <w:rsid w:val="597A342C"/>
    <w:rsid w:val="77DF70A7"/>
    <w:rsid w:val="7FD6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894766-9C2E-41E0-B951-460D9AD2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229</Words>
  <Characters>1307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刘婧</dc:creator>
  <cp:lastModifiedBy>王晓蕾</cp:lastModifiedBy>
  <cp:revision>55</cp:revision>
  <cp:lastPrinted>2021-07-13T07:14:00Z</cp:lastPrinted>
  <dcterms:created xsi:type="dcterms:W3CDTF">2021-07-07T10:25:00Z</dcterms:created>
  <dcterms:modified xsi:type="dcterms:W3CDTF">2021-07-26T10:32:00Z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