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B48" w:rsidRPr="00943E24" w:rsidRDefault="00BC0B48" w:rsidP="00BC0B48">
      <w:pPr>
        <w:snapToGrid w:val="0"/>
        <w:ind w:firstLine="420"/>
        <w:jc w:val="center"/>
        <w:rPr>
          <w:rFonts w:ascii="方正小标宋_GBK" w:eastAsia="方正小标宋_GBK" w:cs="楷体_GB2312"/>
          <w:color w:val="000000" w:themeColor="text1"/>
          <w:kern w:val="0"/>
          <w:sz w:val="44"/>
          <w:szCs w:val="44"/>
        </w:rPr>
      </w:pPr>
      <w:bookmarkStart w:id="0" w:name="_GoBack"/>
      <w:r w:rsidRPr="00943E24">
        <w:rPr>
          <w:rFonts w:ascii="方正小标宋_GBK" w:eastAsia="方正小标宋_GBK" w:cs="楷体_GB2312" w:hint="eastAsia"/>
          <w:color w:val="000000" w:themeColor="text1"/>
          <w:kern w:val="0"/>
          <w:sz w:val="44"/>
          <w:szCs w:val="44"/>
        </w:rPr>
        <w:t>食品生产加工小作坊登记</w:t>
      </w:r>
    </w:p>
    <w:p w:rsidR="00824847" w:rsidRPr="00943E24" w:rsidRDefault="00824847">
      <w:pPr>
        <w:snapToGrid w:val="0"/>
        <w:ind w:firstLine="420"/>
        <w:jc w:val="center"/>
        <w:rPr>
          <w:rFonts w:ascii="方正小标宋_GBK" w:eastAsia="方正小标宋_GBK" w:cs="楷体_GB2312"/>
          <w:color w:val="000000" w:themeColor="text1"/>
          <w:kern w:val="0"/>
          <w:sz w:val="44"/>
          <w:szCs w:val="44"/>
        </w:rPr>
      </w:pPr>
      <w:r w:rsidRPr="00943E24">
        <w:rPr>
          <w:rFonts w:ascii="方正小标宋_GBK" w:eastAsia="方正小标宋_GBK" w:cs="楷体_GB2312" w:hint="eastAsia"/>
          <w:color w:val="000000" w:themeColor="text1"/>
          <w:kern w:val="0"/>
          <w:sz w:val="44"/>
          <w:szCs w:val="44"/>
        </w:rPr>
        <w:t>具体管理措施</w:t>
      </w:r>
    </w:p>
    <w:p w:rsidR="00BC0B48" w:rsidRPr="00943E24" w:rsidRDefault="00BC0B48" w:rsidP="00BC0B48">
      <w:pPr>
        <w:rPr>
          <w:rFonts w:eastAsia="楷体_GB2312" w:cs="楷体_GB2312"/>
          <w:color w:val="000000" w:themeColor="text1"/>
          <w:kern w:val="0"/>
          <w:sz w:val="32"/>
          <w:szCs w:val="32"/>
        </w:rPr>
      </w:pPr>
    </w:p>
    <w:p w:rsidR="00BC0B48" w:rsidRPr="00943E24" w:rsidRDefault="00BC0B48" w:rsidP="00BC0B48">
      <w:pPr>
        <w:spacing w:line="600" w:lineRule="exact"/>
        <w:ind w:firstLineChars="200" w:firstLine="640"/>
        <w:jc w:val="both"/>
        <w:rPr>
          <w:rFonts w:ascii="方正黑体_GBK" w:eastAsia="方正黑体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黑体_GBK" w:eastAsia="方正黑体_GBK" w:cs="楷体_GB2312" w:hint="eastAsia"/>
          <w:color w:val="000000" w:themeColor="text1"/>
          <w:kern w:val="0"/>
          <w:sz w:val="32"/>
          <w:szCs w:val="32"/>
        </w:rPr>
        <w:t>一、责任处室</w:t>
      </w:r>
    </w:p>
    <w:p w:rsidR="00BC0B48" w:rsidRPr="00943E24" w:rsidRDefault="00BC0B48" w:rsidP="00BC0B48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食品生产处</w:t>
      </w:r>
    </w:p>
    <w:p w:rsidR="00BC0B48" w:rsidRPr="00943E24" w:rsidRDefault="00BC0B48" w:rsidP="00BC0B48">
      <w:pPr>
        <w:spacing w:line="600" w:lineRule="exact"/>
        <w:ind w:firstLineChars="200" w:firstLine="640"/>
        <w:jc w:val="both"/>
        <w:rPr>
          <w:rFonts w:ascii="方正黑体_GBK" w:eastAsia="方正黑体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黑体_GBK" w:eastAsia="方正黑体_GBK" w:cs="楷体_GB2312" w:hint="eastAsia"/>
          <w:color w:val="000000" w:themeColor="text1"/>
          <w:kern w:val="0"/>
          <w:sz w:val="32"/>
          <w:szCs w:val="32"/>
        </w:rPr>
        <w:t>二、改革内容</w:t>
      </w:r>
    </w:p>
    <w:p w:rsidR="00B1313F" w:rsidRPr="00943E24" w:rsidRDefault="00B1313F" w:rsidP="00B1313F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根据《重庆市人民政府关于印发重庆市深化“证照分离”改革进一步激发市场主体发展活力实施方案的通知》（渝府发〔</w:t>
      </w:r>
      <w:r w:rsidRPr="00943E24"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  <w:t>2021</w:t>
      </w: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〕</w:t>
      </w:r>
      <w:r w:rsidRPr="00943E24"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  <w:t>16</w:t>
      </w: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号），对“食品生产加工小作坊登记”，由区县市场监管部门在全市范围内优化审批服务：</w:t>
      </w:r>
      <w:r w:rsidRPr="00943E24"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  <w:t>1.</w:t>
      </w: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明确区县市场监管部门可视情况将该事项委托下放到乡镇（街道）市场监管机构，以区县市场监管部门的名义办理登记。</w:t>
      </w:r>
      <w:r w:rsidRPr="00943E24"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  <w:t>2.</w:t>
      </w: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不再要求申请人提交营业执照复印件、生产经营场所产权证明或者租赁合同等申报材料，改为现场核验相关资料。</w:t>
      </w:r>
      <w:r w:rsidRPr="00943E24"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  <w:t>3.</w:t>
      </w: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压缩审批时限。新办、需要现场核查的延续和变更，审批时限由</w:t>
      </w:r>
      <w:r w:rsidRPr="00943E24"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  <w:t>15</w:t>
      </w: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个工作日压减至</w:t>
      </w:r>
      <w:r w:rsidRPr="00943E24"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  <w:t>10</w:t>
      </w: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个工作日；不需要现场核查的延续和变更，补办及注销的审批时限由</w:t>
      </w:r>
      <w:r w:rsidRPr="00943E24"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  <w:t>10</w:t>
      </w: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个工作日压减至</w:t>
      </w:r>
      <w:r w:rsidRPr="00943E24"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  <w:t>5</w:t>
      </w: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个工作日。</w:t>
      </w:r>
    </w:p>
    <w:p w:rsidR="00BC0B48" w:rsidRPr="00943E24" w:rsidRDefault="00BC0B48" w:rsidP="00B1313F">
      <w:pPr>
        <w:spacing w:line="600" w:lineRule="exact"/>
        <w:ind w:firstLineChars="200" w:firstLine="640"/>
        <w:jc w:val="both"/>
        <w:rPr>
          <w:rFonts w:ascii="方正黑体_GBK" w:eastAsia="方正黑体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黑体_GBK" w:eastAsia="方正黑体_GBK" w:cs="楷体_GB2312" w:hint="eastAsia"/>
          <w:color w:val="000000" w:themeColor="text1"/>
          <w:kern w:val="0"/>
          <w:sz w:val="32"/>
          <w:szCs w:val="32"/>
        </w:rPr>
        <w:t>三、法律依据</w:t>
      </w:r>
    </w:p>
    <w:p w:rsidR="00A75EF0" w:rsidRPr="00943E24" w:rsidRDefault="00A75EF0" w:rsidP="00B1313F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《重庆市食品生产加工小作坊和食品摊贩管理条例》</w:t>
      </w:r>
    </w:p>
    <w:p w:rsidR="00BC0B48" w:rsidRPr="00943E24" w:rsidRDefault="00BC0B48" w:rsidP="00BC0B48">
      <w:pPr>
        <w:spacing w:line="600" w:lineRule="exact"/>
        <w:ind w:firstLineChars="200" w:firstLine="640"/>
        <w:jc w:val="both"/>
        <w:rPr>
          <w:rFonts w:ascii="方正黑体_GBK" w:eastAsia="方正黑体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黑体_GBK" w:eastAsia="方正黑体_GBK" w:cs="楷体_GB2312" w:hint="eastAsia"/>
          <w:color w:val="000000" w:themeColor="text1"/>
          <w:kern w:val="0"/>
          <w:sz w:val="32"/>
          <w:szCs w:val="32"/>
        </w:rPr>
        <w:t>四、许可条件</w:t>
      </w:r>
    </w:p>
    <w:p w:rsidR="00A75EF0" w:rsidRPr="00943E24" w:rsidRDefault="00A75EF0" w:rsidP="00943E24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（一）具有与生产经营的食品品种、规模相适应的固定生产加工场所，并与有毒、有害场所以及其他污染源保持安全距离</w:t>
      </w:r>
      <w:r w:rsidR="00DE3D57"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；</w:t>
      </w:r>
    </w:p>
    <w:p w:rsidR="00A75EF0" w:rsidRPr="00943E24" w:rsidRDefault="00A75EF0" w:rsidP="00943E24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lastRenderedPageBreak/>
        <w:t>（二）具有相应的生产设备、设施以及卫生防护设施</w:t>
      </w:r>
      <w:r w:rsidR="00DE3D57"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；</w:t>
      </w:r>
    </w:p>
    <w:p w:rsidR="00A75EF0" w:rsidRPr="00943E24" w:rsidRDefault="00A75EF0" w:rsidP="00943E24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（三）有食品安全管理人员和保证食品安全的规章制度</w:t>
      </w:r>
      <w:r w:rsidR="00DE3D57"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；</w:t>
      </w:r>
    </w:p>
    <w:p w:rsidR="00BC0B48" w:rsidRPr="00943E24" w:rsidRDefault="00A75EF0" w:rsidP="00A75EF0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（四）具有合理的设备布局和工艺流程，防止待加工食品与直接入口食品交叉污染、原料与成品交叉污染，避免食品接触有毒物、不洁物。</w:t>
      </w:r>
    </w:p>
    <w:p w:rsidR="00BC0B48" w:rsidRPr="00943E24" w:rsidRDefault="00BC0B48" w:rsidP="00BC0B48">
      <w:pPr>
        <w:spacing w:line="600" w:lineRule="exact"/>
        <w:ind w:firstLineChars="200" w:firstLine="640"/>
        <w:jc w:val="both"/>
        <w:rPr>
          <w:rFonts w:ascii="方正黑体_GBK" w:eastAsia="方正黑体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黑体_GBK" w:eastAsia="方正黑体_GBK" w:cs="楷体_GB2312" w:hint="eastAsia"/>
          <w:color w:val="000000" w:themeColor="text1"/>
          <w:kern w:val="0"/>
          <w:sz w:val="32"/>
          <w:szCs w:val="32"/>
        </w:rPr>
        <w:t>五、材料要求</w:t>
      </w:r>
    </w:p>
    <w:p w:rsidR="00DE3D57" w:rsidRPr="00943E24" w:rsidRDefault="00DE3D57" w:rsidP="00943E24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（一）食品小作坊登记申请书；</w:t>
      </w:r>
    </w:p>
    <w:p w:rsidR="00DE3D57" w:rsidRPr="00943E24" w:rsidRDefault="00DE3D57" w:rsidP="00943E24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（二）委托他人代为提出申请的，应当提交由委托人签字或者盖章的授权委托书以及委托人、委托代理人的身份证明文件；</w:t>
      </w:r>
    </w:p>
    <w:p w:rsidR="00DE3D57" w:rsidRPr="00943E24" w:rsidRDefault="00DE3D57" w:rsidP="00943E24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（三）主要食品生产工艺流程及拟生产加工的食品品种说明；</w:t>
      </w:r>
    </w:p>
    <w:p w:rsidR="00DE3D57" w:rsidRPr="00943E24" w:rsidRDefault="00DE3D57" w:rsidP="00DE3D57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（四）有关食品安全的规章制度；</w:t>
      </w:r>
    </w:p>
    <w:p w:rsidR="00DE3D57" w:rsidRPr="00943E24" w:rsidRDefault="00DE3D57" w:rsidP="00DE3D57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（五）食品小作坊登记证（变更时提供）；</w:t>
      </w:r>
    </w:p>
    <w:p w:rsidR="00DE3D57" w:rsidRPr="00943E24" w:rsidRDefault="00DE3D57" w:rsidP="00DE3D57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（六）生产条件是否发生变化的声明（变更、延续时提供）。</w:t>
      </w:r>
    </w:p>
    <w:p w:rsidR="00BC0B48" w:rsidRPr="00943E24" w:rsidRDefault="00BC0B48" w:rsidP="00DE3D57">
      <w:pPr>
        <w:spacing w:line="600" w:lineRule="exact"/>
        <w:ind w:firstLineChars="200" w:firstLine="640"/>
        <w:jc w:val="both"/>
        <w:rPr>
          <w:rFonts w:ascii="方正黑体_GBK" w:eastAsia="方正黑体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黑体_GBK" w:eastAsia="方正黑体_GBK" w:cs="楷体_GB2312" w:hint="eastAsia"/>
          <w:color w:val="000000" w:themeColor="text1"/>
          <w:kern w:val="0"/>
          <w:sz w:val="32"/>
          <w:szCs w:val="32"/>
        </w:rPr>
        <w:t>六、程序环节</w:t>
      </w:r>
    </w:p>
    <w:p w:rsidR="00BC0B48" w:rsidRPr="00943E24" w:rsidRDefault="00BC0B48" w:rsidP="00BC0B48">
      <w:pPr>
        <w:spacing w:line="600" w:lineRule="exact"/>
        <w:ind w:firstLineChars="200" w:firstLine="640"/>
        <w:jc w:val="both"/>
        <w:rPr>
          <w:rFonts w:ascii="方正楷体_GBK" w:eastAsia="方正楷体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楷体_GBK" w:eastAsia="方正楷体_GBK" w:cs="楷体_GB2312" w:hint="eastAsia"/>
          <w:color w:val="000000" w:themeColor="text1"/>
          <w:kern w:val="0"/>
          <w:sz w:val="32"/>
          <w:szCs w:val="32"/>
        </w:rPr>
        <w:t>（一）审批层级</w:t>
      </w:r>
    </w:p>
    <w:p w:rsidR="00C9092D" w:rsidRPr="00943E24" w:rsidRDefault="00C9092D" w:rsidP="00943E24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  <w:t>1.受理机构</w:t>
      </w: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：区县市场监管局或受委托的市场监督管理所</w:t>
      </w:r>
    </w:p>
    <w:p w:rsidR="00C9092D" w:rsidRPr="00943E24" w:rsidRDefault="00C9092D" w:rsidP="00C9092D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  <w:t>2.决定机构</w:t>
      </w: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：区县市场监管局</w:t>
      </w:r>
    </w:p>
    <w:p w:rsidR="00BC0B48" w:rsidRPr="00943E24" w:rsidRDefault="00BC0B48" w:rsidP="00BC0B48">
      <w:pPr>
        <w:spacing w:line="600" w:lineRule="exact"/>
        <w:ind w:firstLineChars="200" w:firstLine="640"/>
        <w:jc w:val="both"/>
        <w:rPr>
          <w:rFonts w:ascii="方正楷体_GBK" w:eastAsia="方正楷体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楷体_GBK" w:eastAsia="方正楷体_GBK" w:cs="楷体_GB2312" w:hint="eastAsia"/>
          <w:color w:val="000000" w:themeColor="text1"/>
          <w:kern w:val="0"/>
          <w:sz w:val="32"/>
          <w:szCs w:val="32"/>
        </w:rPr>
        <w:t>（二）办理流程</w:t>
      </w:r>
    </w:p>
    <w:p w:rsidR="00C9092D" w:rsidRPr="00943E24" w:rsidRDefault="00C9092D" w:rsidP="00C9092D">
      <w:pPr>
        <w:adjustRightInd w:val="0"/>
        <w:snapToGrid w:val="0"/>
        <w:spacing w:line="580" w:lineRule="exact"/>
        <w:ind w:firstLineChars="200" w:firstLine="640"/>
        <w:rPr>
          <w:rFonts w:ascii="方正仿宋_GBK" w:eastAsia="方正仿宋_GBK"/>
          <w:color w:val="000000" w:themeColor="text1"/>
          <w:sz w:val="32"/>
          <w:szCs w:val="32"/>
        </w:rPr>
      </w:pPr>
      <w:r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1.</w:t>
      </w:r>
      <w:r w:rsidR="0005085C"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申请与</w:t>
      </w:r>
      <w:r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受理；</w:t>
      </w:r>
    </w:p>
    <w:p w:rsidR="00C9092D" w:rsidRPr="00943E24" w:rsidRDefault="00C9092D" w:rsidP="0005085C">
      <w:pPr>
        <w:adjustRightInd w:val="0"/>
        <w:snapToGrid w:val="0"/>
        <w:spacing w:line="580" w:lineRule="exact"/>
        <w:ind w:firstLineChars="200" w:firstLine="640"/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2.审查</w:t>
      </w:r>
      <w:r w:rsidR="0005085C"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与决定</w:t>
      </w:r>
      <w:r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。</w:t>
      </w:r>
    </w:p>
    <w:p w:rsidR="00BC0B48" w:rsidRPr="00943E24" w:rsidRDefault="00BC0B48" w:rsidP="00BC0B48">
      <w:pPr>
        <w:spacing w:line="600" w:lineRule="exact"/>
        <w:ind w:firstLineChars="200" w:firstLine="640"/>
        <w:jc w:val="both"/>
        <w:rPr>
          <w:rFonts w:ascii="方正仿宋_GBK" w:eastAsia="方正仿宋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楷体_GBK" w:eastAsia="方正楷体_GBK" w:cs="楷体_GB2312" w:hint="eastAsia"/>
          <w:color w:val="000000" w:themeColor="text1"/>
          <w:kern w:val="0"/>
          <w:sz w:val="32"/>
          <w:szCs w:val="32"/>
        </w:rPr>
        <w:t>（三）办理时限</w:t>
      </w:r>
    </w:p>
    <w:p w:rsidR="00C9092D" w:rsidRPr="00943E24" w:rsidRDefault="00C9092D" w:rsidP="00BC0B48">
      <w:pPr>
        <w:spacing w:line="600" w:lineRule="exact"/>
        <w:ind w:firstLineChars="200" w:firstLine="640"/>
        <w:jc w:val="both"/>
        <w:rPr>
          <w:rFonts w:ascii="方正仿宋_GBK" w:eastAsia="方正仿宋_GBK"/>
          <w:color w:val="000000" w:themeColor="text1"/>
          <w:sz w:val="32"/>
          <w:szCs w:val="32"/>
        </w:rPr>
      </w:pPr>
      <w:r w:rsidRPr="00943E24">
        <w:rPr>
          <w:rFonts w:ascii="方正仿宋_GBK" w:eastAsia="方正仿宋_GBK" w:cs="楷体_GB2312" w:hint="eastAsia"/>
          <w:color w:val="000000" w:themeColor="text1"/>
          <w:kern w:val="0"/>
          <w:sz w:val="32"/>
          <w:szCs w:val="32"/>
        </w:rPr>
        <w:t>1</w:t>
      </w:r>
      <w:r w:rsidRPr="00943E24">
        <w:rPr>
          <w:rFonts w:ascii="方正仿宋_GBK" w:eastAsia="方正仿宋_GBK"/>
          <w:color w:val="000000" w:themeColor="text1"/>
          <w:sz w:val="32"/>
          <w:szCs w:val="32"/>
        </w:rPr>
        <w:t xml:space="preserve">. </w:t>
      </w:r>
      <w:r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新办、需要现场核查的延续和变更</w:t>
      </w:r>
    </w:p>
    <w:p w:rsidR="00C9092D" w:rsidRPr="00943E24" w:rsidRDefault="00C9092D" w:rsidP="00BC0B48">
      <w:pPr>
        <w:spacing w:line="600" w:lineRule="exact"/>
        <w:ind w:firstLineChars="200" w:firstLine="640"/>
        <w:jc w:val="both"/>
        <w:rPr>
          <w:rFonts w:ascii="方正仿宋_GBK" w:eastAsia="方正仿宋_GBK"/>
          <w:color w:val="000000" w:themeColor="text1"/>
          <w:sz w:val="32"/>
          <w:szCs w:val="32"/>
        </w:rPr>
      </w:pPr>
      <w:r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lastRenderedPageBreak/>
        <w:t>法定时限：</w:t>
      </w:r>
      <w:r w:rsidRPr="00943E24">
        <w:rPr>
          <w:rFonts w:ascii="方正仿宋_GBK" w:eastAsia="方正仿宋_GBK"/>
          <w:color w:val="000000" w:themeColor="text1"/>
          <w:sz w:val="32"/>
          <w:szCs w:val="32"/>
        </w:rPr>
        <w:t>15个工作日。承诺时限：10个工作日</w:t>
      </w:r>
    </w:p>
    <w:p w:rsidR="00C9092D" w:rsidRPr="00943E24" w:rsidRDefault="00C9092D" w:rsidP="00BC0B48">
      <w:pPr>
        <w:spacing w:line="600" w:lineRule="exact"/>
        <w:ind w:firstLineChars="200" w:firstLine="640"/>
        <w:jc w:val="both"/>
        <w:rPr>
          <w:rFonts w:ascii="方正仿宋_GBK" w:eastAsia="方正仿宋_GBK"/>
          <w:color w:val="000000" w:themeColor="text1"/>
          <w:sz w:val="32"/>
          <w:szCs w:val="32"/>
        </w:rPr>
      </w:pPr>
      <w:r w:rsidRPr="00943E24">
        <w:rPr>
          <w:rFonts w:ascii="方正仿宋_GBK" w:eastAsia="方正仿宋_GBK"/>
          <w:color w:val="000000" w:themeColor="text1"/>
          <w:sz w:val="32"/>
          <w:szCs w:val="32"/>
        </w:rPr>
        <w:t xml:space="preserve">2. </w:t>
      </w:r>
      <w:r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不需要现场核查的延续和变更，补办及注销</w:t>
      </w:r>
    </w:p>
    <w:p w:rsidR="00C9092D" w:rsidRPr="00943E24" w:rsidRDefault="00C9092D" w:rsidP="00BC0B48">
      <w:pPr>
        <w:spacing w:line="600" w:lineRule="exact"/>
        <w:ind w:firstLineChars="200" w:firstLine="640"/>
        <w:jc w:val="both"/>
        <w:rPr>
          <w:rFonts w:ascii="方正仿宋_GBK" w:eastAsia="方正仿宋_GBK"/>
          <w:color w:val="000000" w:themeColor="text1"/>
          <w:sz w:val="32"/>
          <w:szCs w:val="32"/>
        </w:rPr>
      </w:pPr>
      <w:r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法定时限：</w:t>
      </w:r>
      <w:r w:rsidRPr="00943E24">
        <w:rPr>
          <w:rFonts w:ascii="方正仿宋_GBK" w:eastAsia="方正仿宋_GBK"/>
          <w:color w:val="000000" w:themeColor="text1"/>
          <w:sz w:val="32"/>
          <w:szCs w:val="32"/>
        </w:rPr>
        <w:t>10个工作日。承诺时限：5个工作日</w:t>
      </w:r>
    </w:p>
    <w:p w:rsidR="00BC0B48" w:rsidRPr="00943E24" w:rsidRDefault="00BC0B48" w:rsidP="00BC0B48">
      <w:pPr>
        <w:spacing w:line="600" w:lineRule="exact"/>
        <w:ind w:firstLineChars="200" w:firstLine="640"/>
        <w:jc w:val="both"/>
        <w:rPr>
          <w:rFonts w:ascii="方正黑体_GBK" w:eastAsia="方正黑体_GBK" w:cs="楷体_GB2312"/>
          <w:color w:val="000000" w:themeColor="text1"/>
          <w:kern w:val="0"/>
          <w:sz w:val="32"/>
          <w:szCs w:val="32"/>
        </w:rPr>
      </w:pPr>
      <w:r w:rsidRPr="00943E24">
        <w:rPr>
          <w:rFonts w:ascii="方正黑体_GBK" w:eastAsia="方正黑体_GBK" w:cs="楷体_GB2312" w:hint="eastAsia"/>
          <w:color w:val="000000" w:themeColor="text1"/>
          <w:kern w:val="0"/>
          <w:sz w:val="32"/>
          <w:szCs w:val="32"/>
        </w:rPr>
        <w:t>七、监管措施</w:t>
      </w:r>
    </w:p>
    <w:p w:rsidR="00C9092D" w:rsidRPr="00943E24" w:rsidRDefault="00C9092D" w:rsidP="00943E24">
      <w:pPr>
        <w:spacing w:line="600" w:lineRule="exact"/>
        <w:ind w:firstLineChars="200" w:firstLine="640"/>
        <w:jc w:val="both"/>
        <w:rPr>
          <w:rFonts w:ascii="方正仿宋_GBK" w:eastAsia="方正仿宋_GBK"/>
          <w:color w:val="000000" w:themeColor="text1"/>
          <w:sz w:val="32"/>
          <w:szCs w:val="32"/>
        </w:rPr>
      </w:pPr>
      <w:r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（一）强化证后监管。日常监管机构应严格执行有关法律法规和标准，对食品生产加工小作坊加强监管，对已进行现场核查的企业，重点检查现场核查中发现的问题是否已经整改。</w:t>
      </w:r>
    </w:p>
    <w:p w:rsidR="00BC0B48" w:rsidRPr="00943E24" w:rsidRDefault="00C9092D" w:rsidP="00C9092D">
      <w:pPr>
        <w:spacing w:line="600" w:lineRule="exact"/>
        <w:ind w:firstLineChars="200" w:firstLine="640"/>
        <w:jc w:val="both"/>
        <w:rPr>
          <w:rFonts w:ascii="方正仿宋_GBK" w:eastAsia="方正仿宋_GBK"/>
          <w:color w:val="000000" w:themeColor="text1"/>
          <w:sz w:val="32"/>
          <w:szCs w:val="32"/>
        </w:rPr>
      </w:pPr>
      <w:r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（二）落实“双随机、一公开”机制。在日常监管全覆盖基础上，</w:t>
      </w:r>
      <w:r w:rsidRPr="00943E24">
        <w:rPr>
          <w:rFonts w:ascii="方正仿宋_GBK" w:eastAsia="方正仿宋_GBK"/>
          <w:color w:val="000000" w:themeColor="text1"/>
          <w:sz w:val="32"/>
          <w:szCs w:val="32"/>
        </w:rPr>
        <w:t xml:space="preserve"> </w:t>
      </w:r>
      <w:r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开展“双随机、一公开”监管，发现违法违规行为的要依法严查重处并公开结果。</w:t>
      </w:r>
    </w:p>
    <w:p w:rsidR="00C9092D" w:rsidRPr="00943E24" w:rsidRDefault="00C9092D" w:rsidP="00943E24">
      <w:pPr>
        <w:spacing w:line="600" w:lineRule="exact"/>
        <w:ind w:firstLineChars="200" w:firstLine="640"/>
        <w:jc w:val="both"/>
        <w:rPr>
          <w:rFonts w:ascii="方正仿宋_GBK" w:eastAsia="方正仿宋_GBK"/>
          <w:color w:val="000000" w:themeColor="text1"/>
          <w:sz w:val="32"/>
          <w:szCs w:val="32"/>
        </w:rPr>
      </w:pPr>
      <w:r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（三）</w:t>
      </w:r>
      <w:r w:rsidR="00426C8E"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加强抽检监测。对被检出不合格和问题食品的，强化食品安全监管和执法，列为重点检查对象，调高信用风险等级，增加日常监督检查频次，相关情况记入信用档案</w:t>
      </w:r>
      <w:r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。</w:t>
      </w:r>
    </w:p>
    <w:p w:rsidR="00C9092D" w:rsidRPr="00943E24" w:rsidRDefault="00C9092D" w:rsidP="00C9092D">
      <w:pPr>
        <w:spacing w:line="600" w:lineRule="exact"/>
        <w:ind w:firstLineChars="200" w:firstLine="640"/>
        <w:jc w:val="both"/>
        <w:rPr>
          <w:rFonts w:ascii="方正仿宋_GBK" w:eastAsia="方正仿宋_GBK"/>
          <w:color w:val="000000" w:themeColor="text1"/>
          <w:sz w:val="32"/>
          <w:szCs w:val="32"/>
        </w:rPr>
      </w:pPr>
      <w:r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（四）落实“最严厉的处罚”要求。依法从严查处食品安全违法行为，对</w:t>
      </w:r>
      <w:r w:rsidRPr="00943E24">
        <w:rPr>
          <w:rFonts w:ascii="方正仿宋_GBK" w:eastAsia="方正仿宋_GBK"/>
          <w:color w:val="000000" w:themeColor="text1"/>
          <w:sz w:val="32"/>
          <w:szCs w:val="32"/>
        </w:rPr>
        <w:t>1</w:t>
      </w:r>
      <w:r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年内累计</w:t>
      </w:r>
      <w:r w:rsidRPr="00943E24">
        <w:rPr>
          <w:rFonts w:ascii="方正仿宋_GBK" w:eastAsia="方正仿宋_GBK"/>
          <w:color w:val="000000" w:themeColor="text1"/>
          <w:sz w:val="32"/>
          <w:szCs w:val="32"/>
        </w:rPr>
        <w:t>3</w:t>
      </w:r>
      <w:r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次因违反《食品安全法》受到责令停产停业、吊销许可证以外处罚的，要依法责令</w:t>
      </w:r>
      <w:r w:rsidR="000A63B0"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食品生产加工小作坊</w:t>
      </w:r>
      <w:r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停产停业，直至吊销许可证；违法情节严重的，一律</w:t>
      </w:r>
      <w:r w:rsidR="00537A1C"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依法</w:t>
      </w:r>
      <w:r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从重处罚；相关从业人员符合行业禁入、罚款条件的，一律处罚到人；涉嫌犯罪的，一律移送司法机关。</w:t>
      </w:r>
    </w:p>
    <w:p w:rsidR="002A03B9" w:rsidRPr="00943E24" w:rsidRDefault="002A03B9" w:rsidP="00C9092D">
      <w:pPr>
        <w:spacing w:line="600" w:lineRule="exact"/>
        <w:ind w:firstLineChars="200" w:firstLine="640"/>
        <w:jc w:val="both"/>
        <w:rPr>
          <w:rFonts w:ascii="方正仿宋_GBK" w:eastAsia="方正仿宋_GBK"/>
          <w:color w:val="000000" w:themeColor="text1"/>
          <w:sz w:val="32"/>
          <w:szCs w:val="32"/>
        </w:rPr>
      </w:pPr>
      <w:r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（五）</w:t>
      </w:r>
      <w:r w:rsidR="00C27D66"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畅通投诉举报渠道，发挥</w:t>
      </w:r>
      <w:r w:rsidR="00C27D66" w:rsidRPr="00943E24">
        <w:rPr>
          <w:rFonts w:ascii="方正仿宋_GBK" w:eastAsia="方正仿宋_GBK"/>
          <w:color w:val="000000" w:themeColor="text1"/>
          <w:sz w:val="32"/>
          <w:szCs w:val="32"/>
        </w:rPr>
        <w:t>12315</w:t>
      </w:r>
      <w:r w:rsidR="00C27D66"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投诉举报职能，强化社会监督，落实食品安全社会共治</w:t>
      </w:r>
      <w:r w:rsidRPr="00943E24">
        <w:rPr>
          <w:rFonts w:ascii="方正仿宋_GBK" w:eastAsia="方正仿宋_GBK"/>
          <w:color w:val="000000" w:themeColor="text1"/>
          <w:sz w:val="32"/>
          <w:szCs w:val="32"/>
        </w:rPr>
        <w:t>。</w:t>
      </w:r>
    </w:p>
    <w:p w:rsidR="00E41F44" w:rsidRPr="00943E24" w:rsidRDefault="00E41F44" w:rsidP="00C9092D">
      <w:pPr>
        <w:spacing w:line="600" w:lineRule="exact"/>
        <w:ind w:firstLineChars="200" w:firstLine="640"/>
        <w:jc w:val="both"/>
        <w:rPr>
          <w:rFonts w:ascii="方正仿宋_GBK" w:eastAsia="方正仿宋_GBK"/>
          <w:color w:val="000000" w:themeColor="text1"/>
          <w:sz w:val="32"/>
          <w:szCs w:val="32"/>
        </w:rPr>
      </w:pPr>
      <w:r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lastRenderedPageBreak/>
        <w:t>（六）加强信用监管，依法依规对失信主体开展失信惩戒，申请人食品安全信用信息记录载明监督抽检不合格、监督检查不符合、发生过食品安全事故，以及其他保障食品安全方面存在隐患的，除变更生产者名称、法定代表人（负责人）、</w:t>
      </w:r>
      <w:r w:rsidR="00791139"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住所（经营场所）</w:t>
      </w:r>
      <w:r w:rsidR="00C27D66"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名称</w:t>
      </w:r>
      <w:r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及生产地址名称等登记</w:t>
      </w:r>
      <w:r w:rsidR="009C4EEB"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事项外，其余变更及延续的</w:t>
      </w:r>
      <w:r w:rsidRPr="00943E24">
        <w:rPr>
          <w:rFonts w:ascii="方正仿宋_GBK" w:eastAsia="方正仿宋_GBK" w:hint="eastAsia"/>
          <w:color w:val="000000" w:themeColor="text1"/>
          <w:sz w:val="32"/>
          <w:szCs w:val="32"/>
        </w:rPr>
        <w:t>申请均需进行现场核查。</w:t>
      </w:r>
    </w:p>
    <w:bookmarkEnd w:id="0"/>
    <w:p w:rsidR="000C7C8E" w:rsidRPr="00943E24" w:rsidRDefault="000C7C8E" w:rsidP="00943E24">
      <w:pPr>
        <w:spacing w:line="600" w:lineRule="exact"/>
        <w:ind w:firstLineChars="200" w:firstLine="640"/>
        <w:jc w:val="both"/>
        <w:rPr>
          <w:rFonts w:ascii="方正仿宋_GBK" w:eastAsia="方正仿宋_GBK"/>
          <w:color w:val="000000" w:themeColor="text1"/>
          <w:sz w:val="32"/>
          <w:szCs w:val="32"/>
        </w:rPr>
      </w:pPr>
    </w:p>
    <w:sectPr w:rsidR="000C7C8E" w:rsidRPr="00943E24" w:rsidSect="004637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74" w:bottom="1134" w:left="1588" w:header="851" w:footer="147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EDE" w:rsidRDefault="000C0EDE" w:rsidP="00BC0B48">
      <w:r>
        <w:separator/>
      </w:r>
    </w:p>
  </w:endnote>
  <w:endnote w:type="continuationSeparator" w:id="0">
    <w:p w:rsidR="000C0EDE" w:rsidRDefault="000C0EDE" w:rsidP="00BC0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EEB" w:rsidRDefault="009C4EE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EEB" w:rsidRDefault="009C4EE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EEB" w:rsidRDefault="009C4EE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EDE" w:rsidRDefault="000C0EDE" w:rsidP="00BC0B48">
      <w:r>
        <w:separator/>
      </w:r>
    </w:p>
  </w:footnote>
  <w:footnote w:type="continuationSeparator" w:id="0">
    <w:p w:rsidR="000C0EDE" w:rsidRDefault="000C0EDE" w:rsidP="00BC0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EEB" w:rsidRDefault="009C4EE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BCC" w:rsidRDefault="000C0EDE" w:rsidP="009C4EEB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EEB" w:rsidRDefault="009C4E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4EBA"/>
    <w:rsid w:val="0005085C"/>
    <w:rsid w:val="000A63B0"/>
    <w:rsid w:val="000C0EDE"/>
    <w:rsid w:val="000C7C8E"/>
    <w:rsid w:val="000F79F1"/>
    <w:rsid w:val="002A03B9"/>
    <w:rsid w:val="003D504A"/>
    <w:rsid w:val="00426C8E"/>
    <w:rsid w:val="004851FF"/>
    <w:rsid w:val="00510097"/>
    <w:rsid w:val="00537A1C"/>
    <w:rsid w:val="00683DDB"/>
    <w:rsid w:val="006E124C"/>
    <w:rsid w:val="00791139"/>
    <w:rsid w:val="00824847"/>
    <w:rsid w:val="008F1250"/>
    <w:rsid w:val="00922CA8"/>
    <w:rsid w:val="00943E24"/>
    <w:rsid w:val="00980AE9"/>
    <w:rsid w:val="00992CD0"/>
    <w:rsid w:val="009C4EEB"/>
    <w:rsid w:val="00A256A6"/>
    <w:rsid w:val="00A56D4E"/>
    <w:rsid w:val="00A75EF0"/>
    <w:rsid w:val="00B05987"/>
    <w:rsid w:val="00B1313F"/>
    <w:rsid w:val="00B957EC"/>
    <w:rsid w:val="00BC0B48"/>
    <w:rsid w:val="00BF74A4"/>
    <w:rsid w:val="00C27D66"/>
    <w:rsid w:val="00C46AB2"/>
    <w:rsid w:val="00C74EBA"/>
    <w:rsid w:val="00C9092D"/>
    <w:rsid w:val="00D97EC7"/>
    <w:rsid w:val="00DE3D57"/>
    <w:rsid w:val="00E41F44"/>
    <w:rsid w:val="00ED6748"/>
    <w:rsid w:val="00FA3923"/>
    <w:rsid w:val="00FA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202555D-8D9D-4A4D-926A-0CE82F72C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0B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C0B4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C0B4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C0B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1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王志洁</dc:creator>
  <cp:keywords/>
  <dc:description/>
  <cp:lastModifiedBy>王晓蕾</cp:lastModifiedBy>
  <cp:revision>22</cp:revision>
  <dcterms:created xsi:type="dcterms:W3CDTF">2021-07-12T02:25:00Z</dcterms:created>
  <dcterms:modified xsi:type="dcterms:W3CDTF">2021-07-26T10:34:00Z</dcterms:modified>
</cp:coreProperties>
</file>