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5D6E4F">
      <w:pPr>
        <w:spacing w:line="600" w:lineRule="exact"/>
        <w:jc w:val="center"/>
        <w:rPr>
          <w:rFonts w:ascii="方正小标宋_GBK" w:hAnsi="华文中宋" w:eastAsia="方正小标宋_GBK" w:cs="华文中宋"/>
          <w:b/>
          <w:sz w:val="44"/>
          <w:szCs w:val="44"/>
        </w:rPr>
      </w:pPr>
      <w:bookmarkStart w:id="0" w:name="_GoBack"/>
      <w:bookmarkEnd w:id="0"/>
      <w:r>
        <w:rPr>
          <w:rFonts w:hint="eastAsia" w:ascii="方正小标宋_GBK" w:hAnsi="华文中宋" w:eastAsia="方正小标宋_GBK" w:cs="华文中宋"/>
          <w:b/>
          <w:sz w:val="44"/>
          <w:szCs w:val="44"/>
        </w:rPr>
        <w:t>重庆市市场监督管理局机关后勤服务中心</w:t>
      </w:r>
    </w:p>
    <w:p w14:paraId="352C7F0E">
      <w:pPr>
        <w:spacing w:line="600" w:lineRule="exact"/>
        <w:jc w:val="center"/>
        <w:rPr>
          <w:rFonts w:ascii="方正小标宋_GBK" w:hAnsi="华文中宋" w:eastAsia="方正小标宋_GBK" w:cs="华文中宋"/>
          <w:b/>
          <w:sz w:val="44"/>
          <w:szCs w:val="44"/>
        </w:rPr>
      </w:pPr>
      <w:r>
        <w:rPr>
          <w:rFonts w:hint="eastAsia" w:ascii="方正小标宋_GBK" w:hAnsi="华文中宋" w:eastAsia="方正小标宋_GBK" w:cs="华文中宋"/>
          <w:b/>
          <w:sz w:val="44"/>
          <w:szCs w:val="44"/>
        </w:rPr>
        <w:t>2021年单位预算情况说明</w:t>
      </w:r>
    </w:p>
    <w:p w14:paraId="5D21123C">
      <w:pPr>
        <w:spacing w:line="600" w:lineRule="exact"/>
        <w:ind w:firstLine="880" w:firstLineChars="200"/>
        <w:jc w:val="center"/>
        <w:rPr>
          <w:rFonts w:ascii="华文中宋" w:hAnsi="华文中宋" w:eastAsia="华文中宋" w:cs="华文中宋"/>
          <w:sz w:val="44"/>
          <w:szCs w:val="44"/>
        </w:rPr>
      </w:pPr>
    </w:p>
    <w:p w14:paraId="1E6F41EC">
      <w:pPr>
        <w:spacing w:line="560" w:lineRule="exact"/>
        <w:ind w:firstLine="640" w:firstLineChars="200"/>
        <w:rPr>
          <w:rFonts w:ascii="方正黑体_GBK" w:hAnsi="黑体" w:eastAsia="方正黑体_GBK" w:cs="仿宋_GB2312"/>
          <w:sz w:val="32"/>
        </w:rPr>
      </w:pPr>
      <w:r>
        <w:rPr>
          <w:rFonts w:hint="eastAsia" w:ascii="方正黑体_GBK" w:hAnsi="黑体" w:eastAsia="方正黑体_GBK" w:cs="仿宋_GB2312"/>
          <w:sz w:val="32"/>
        </w:rPr>
        <w:t>一、单位基本情况</w:t>
      </w:r>
    </w:p>
    <w:p w14:paraId="0EB150A6">
      <w:pPr>
        <w:spacing w:line="560" w:lineRule="exact"/>
        <w:ind w:firstLine="640" w:firstLineChars="200"/>
        <w:rPr>
          <w:rFonts w:ascii="方正楷体_GBK" w:hAnsi="仿宋_GB2312" w:eastAsia="方正楷体_GBK" w:cs="仿宋_GB2312"/>
          <w:sz w:val="32"/>
        </w:rPr>
      </w:pPr>
      <w:r>
        <w:rPr>
          <w:rFonts w:hint="eastAsia" w:ascii="方正楷体_GBK" w:hAnsi="仿宋_GB2312" w:eastAsia="方正楷体_GBK" w:cs="仿宋_GB2312"/>
          <w:sz w:val="32"/>
        </w:rPr>
        <w:t>（一）职能职责</w:t>
      </w:r>
    </w:p>
    <w:p w14:paraId="026DC24F">
      <w:pPr>
        <w:spacing w:line="560" w:lineRule="exact"/>
        <w:ind w:firstLine="640" w:firstLineChars="200"/>
        <w:rPr>
          <w:rFonts w:ascii="方正仿宋_GBK" w:hAnsi="仿宋_GB2312" w:eastAsia="方正仿宋_GBK" w:cs="仿宋_GB2312"/>
          <w:sz w:val="32"/>
        </w:rPr>
      </w:pPr>
      <w:r>
        <w:rPr>
          <w:rFonts w:hint="eastAsia" w:ascii="方正仿宋_GBK" w:hAnsi="华文中宋" w:eastAsia="方正仿宋_GBK" w:cs="华文中宋"/>
          <w:sz w:val="32"/>
          <w:szCs w:val="32"/>
        </w:rPr>
        <w:t>重庆市市场监督管理局机关后勤服务中心系重庆市市场监督管理局直属公益二类事业单位，性质为全额财政拨款。主要职能职责是：</w:t>
      </w:r>
      <w:r>
        <w:rPr>
          <w:rFonts w:hint="eastAsia" w:ascii="方正仿宋_GBK" w:hAnsi="仿宋_GB2312" w:eastAsia="方正仿宋_GBK" w:cs="仿宋_GB2312"/>
          <w:sz w:val="32"/>
        </w:rPr>
        <w:t>为机关政务、公务活动提供保障服务，承办机关公务用车、有关会议和政务活动、办公用品管理、节能工作、机关办公大楼的物业管理、安全管理、后勤保障等工作。</w:t>
      </w:r>
    </w:p>
    <w:p w14:paraId="720F985C">
      <w:pPr>
        <w:spacing w:line="560" w:lineRule="exact"/>
        <w:ind w:firstLine="640" w:firstLineChars="200"/>
        <w:rPr>
          <w:rFonts w:ascii="方正楷体_GBK" w:hAnsi="仿宋_GB2312" w:eastAsia="方正楷体_GBK" w:cs="仿宋_GB2312"/>
          <w:sz w:val="32"/>
        </w:rPr>
      </w:pPr>
      <w:r>
        <w:rPr>
          <w:rFonts w:hint="eastAsia" w:ascii="方正楷体_GBK" w:hAnsi="仿宋_GB2312" w:eastAsia="方正楷体_GBK" w:cs="仿宋_GB2312"/>
          <w:sz w:val="32"/>
        </w:rPr>
        <w:t>（二）单位构成</w:t>
      </w:r>
    </w:p>
    <w:p w14:paraId="7062CF14">
      <w:pPr>
        <w:spacing w:line="56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内设一室五科：办公室、行政科、财务科、基建科、物业管理科、保卫科。</w:t>
      </w:r>
    </w:p>
    <w:p w14:paraId="295889C7">
      <w:pPr>
        <w:spacing w:line="560" w:lineRule="exact"/>
        <w:ind w:firstLine="640" w:firstLineChars="200"/>
        <w:rPr>
          <w:rFonts w:ascii="方正黑体_GBK" w:hAnsi="黑体" w:eastAsia="方正黑体_GBK" w:cs="仿宋_GB2312"/>
          <w:sz w:val="32"/>
        </w:rPr>
      </w:pPr>
      <w:r>
        <w:rPr>
          <w:rFonts w:hint="eastAsia" w:ascii="方正黑体_GBK" w:hAnsi="黑体" w:eastAsia="方正黑体_GBK" w:cs="仿宋_GB2312"/>
          <w:sz w:val="32"/>
        </w:rPr>
        <w:t>二、收支总体情况</w:t>
      </w:r>
    </w:p>
    <w:p w14:paraId="6F908855">
      <w:pPr>
        <w:spacing w:line="56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（一）收入预算：2021年年初预算数1410.16万元，其中：一般公共预算拨款1410.16万元。收入较2020年减少174.46万元，主要是项目经费拨款减少170.00万元。</w:t>
      </w:r>
    </w:p>
    <w:p w14:paraId="1F4429D5">
      <w:pPr>
        <w:spacing w:line="56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（二）支出预算：2021年年初预算数1410.16万元，其中：一般公共服务支出预算1370.42万元，社会保障和就业支出预算 20.96万元，卫生健康支出预算8.30万元，住房保障支出预算10.48万元。支出预算较2020年减少174.46万元，主要是基本支出预算减少4.46万元，项目支出预算减少170.00万元。</w:t>
      </w:r>
    </w:p>
    <w:p w14:paraId="4AD73772">
      <w:pPr>
        <w:spacing w:line="560" w:lineRule="exact"/>
        <w:ind w:firstLine="640" w:firstLineChars="200"/>
        <w:rPr>
          <w:rFonts w:ascii="方正仿宋_GBK" w:hAnsi="黑体" w:eastAsia="方正仿宋_GBK" w:cs="仿宋_GB2312"/>
          <w:sz w:val="32"/>
        </w:rPr>
      </w:pPr>
      <w:r>
        <w:rPr>
          <w:rFonts w:hint="eastAsia" w:ascii="方正黑体_GBK" w:hAnsi="黑体" w:eastAsia="方正黑体_GBK" w:cs="仿宋_GB2312"/>
          <w:sz w:val="32"/>
        </w:rPr>
        <w:t>三</w:t>
      </w:r>
      <w:r>
        <w:rPr>
          <w:rFonts w:ascii="方正黑体_GBK" w:hAnsi="黑体" w:eastAsia="方正黑体_GBK" w:cs="仿宋_GB2312"/>
          <w:sz w:val="32"/>
        </w:rPr>
        <w:t>、</w:t>
      </w:r>
      <w:r>
        <w:rPr>
          <w:rFonts w:hint="eastAsia" w:ascii="方正黑体_GBK" w:hAnsi="黑体" w:eastAsia="方正黑体_GBK" w:cs="仿宋_GB2312"/>
          <w:sz w:val="32"/>
        </w:rPr>
        <w:t>预算情况说明</w:t>
      </w:r>
    </w:p>
    <w:p w14:paraId="2D6B3D42">
      <w:pPr>
        <w:spacing w:line="56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2021年一般公共预算财政拨款收入1410.16万元，一般公共预算财政拨款支出1410.16万元，比2020年减少174.46万元。其中：基本支出140.16万元，比2020年减少4.46万元，主要原因是基本支出减少4.42万元，其中:基本工资增加0.28万元、绩效工资减少3.31万元、基本养老保险缴费减少0.49万元、职业年金缴费减少0.24万元、职工基本医疗保险缴费减少0.58万元、其他社保缴费增加0.28万元、住房公积金减少0.36万元、办公费增加0.01万元、工会经费减少0.06万元、福利费增加0.01万元；项目支出1270万元，比2020年减少170万元，主要原因是厉行节约、控制后勤保障成本等。</w:t>
      </w:r>
    </w:p>
    <w:p w14:paraId="21281526">
      <w:pPr>
        <w:spacing w:line="56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我单位2021年未使用政府性基金预算拨款安排的支出，</w:t>
      </w:r>
      <w:r>
        <w:rPr>
          <w:rFonts w:ascii="方正仿宋_GBK" w:hAnsi="仿宋_GB2312" w:eastAsia="方正仿宋_GBK" w:cs="仿宋_GB2312"/>
          <w:sz w:val="32"/>
        </w:rPr>
        <w:t>与</w:t>
      </w:r>
      <w:r>
        <w:rPr>
          <w:rFonts w:hint="eastAsia" w:ascii="方正仿宋_GBK" w:hAnsi="仿宋_GB2312" w:eastAsia="方正仿宋_GBK" w:cs="仿宋_GB2312"/>
          <w:sz w:val="32"/>
        </w:rPr>
        <w:t>2020年</w:t>
      </w:r>
      <w:r>
        <w:rPr>
          <w:rFonts w:ascii="方正仿宋_GBK" w:hAnsi="仿宋_GB2312" w:eastAsia="方正仿宋_GBK" w:cs="仿宋_GB2312"/>
          <w:sz w:val="32"/>
        </w:rPr>
        <w:t>持平</w:t>
      </w:r>
      <w:r>
        <w:rPr>
          <w:rFonts w:hint="eastAsia" w:ascii="方正仿宋_GBK" w:hAnsi="仿宋_GB2312" w:eastAsia="方正仿宋_GBK" w:cs="仿宋_GB2312"/>
          <w:sz w:val="32"/>
        </w:rPr>
        <w:t>。</w:t>
      </w:r>
    </w:p>
    <w:p w14:paraId="68DB754E">
      <w:pPr>
        <w:spacing w:line="560" w:lineRule="exact"/>
        <w:ind w:firstLine="640" w:firstLineChars="200"/>
        <w:rPr>
          <w:rFonts w:ascii="方正仿宋_GBK" w:hAnsi="黑体" w:eastAsia="方正仿宋_GBK" w:cs="仿宋_GB2312"/>
          <w:sz w:val="32"/>
        </w:rPr>
      </w:pPr>
      <w:r>
        <w:rPr>
          <w:rFonts w:hint="eastAsia" w:ascii="方正黑体_GBK" w:hAnsi="黑体" w:eastAsia="方正黑体_GBK" w:cs="仿宋_GB2312"/>
          <w:sz w:val="32"/>
        </w:rPr>
        <w:t>四</w:t>
      </w:r>
      <w:r>
        <w:rPr>
          <w:rFonts w:ascii="方正黑体_GBK" w:hAnsi="黑体" w:eastAsia="方正黑体_GBK" w:cs="仿宋_GB2312"/>
          <w:sz w:val="32"/>
        </w:rPr>
        <w:t>、</w:t>
      </w:r>
      <w:r>
        <w:rPr>
          <w:rFonts w:hint="eastAsia" w:ascii="方正黑体_GBK" w:hAnsi="黑体" w:eastAsia="方正黑体_GBK" w:cs="仿宋_GB2312"/>
          <w:sz w:val="32"/>
        </w:rPr>
        <w:t>“三公”经费情况说明</w:t>
      </w:r>
    </w:p>
    <w:p w14:paraId="0923FCCD">
      <w:pPr>
        <w:spacing w:line="560" w:lineRule="exact"/>
        <w:ind w:firstLine="600"/>
        <w:rPr>
          <w:rFonts w:ascii="方正仿宋_GBK" w:hAnsi="仿宋_GB2312" w:eastAsia="方正仿宋_GBK" w:cs="仿宋_GB2312"/>
          <w:sz w:val="32"/>
        </w:rPr>
      </w:pPr>
      <w:r>
        <w:rPr>
          <w:rFonts w:hint="eastAsia" w:ascii="方正仿宋_GBK" w:hAnsi="仿宋_GB2312" w:eastAsia="方正仿宋_GBK" w:cs="仿宋_GB2312"/>
          <w:sz w:val="32"/>
        </w:rPr>
        <w:t>2021年“三公”经费预算0.5万元，其中: 公务接待费0.5万元，与2020年持平；因公出国（出境）费用0万元，与2020年持平;公务用车运行维护费0万元，与2020年持平;公务用车购置费0万元，与2020年持平。</w:t>
      </w:r>
    </w:p>
    <w:p w14:paraId="3818FC2F">
      <w:pPr>
        <w:spacing w:line="560" w:lineRule="exact"/>
        <w:ind w:firstLine="640" w:firstLineChars="200"/>
        <w:rPr>
          <w:rFonts w:ascii="方正黑体_GBK" w:hAnsi="黑体" w:eastAsia="方正黑体_GBK" w:cs="仿宋_GB2312"/>
          <w:sz w:val="32"/>
        </w:rPr>
      </w:pPr>
      <w:r>
        <w:rPr>
          <w:rFonts w:hint="eastAsia" w:ascii="方正黑体_GBK" w:hAnsi="黑体" w:eastAsia="方正黑体_GBK" w:cs="仿宋_GB2312"/>
          <w:sz w:val="32"/>
        </w:rPr>
        <w:t>五、其他重要事项的情况说明</w:t>
      </w:r>
    </w:p>
    <w:p w14:paraId="44F2A7CD">
      <w:pPr>
        <w:spacing w:line="56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1、我单位不在机关运行经费统计范围之内。</w:t>
      </w:r>
    </w:p>
    <w:p w14:paraId="7C2C11F2">
      <w:pPr>
        <w:spacing w:line="56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2、政府采购情况。本单位政府采购预算总额0万元：政府采购货物预算0万元、政府采购工程预算0万元、政府采购服务预算0万元；其中一般公共预算拨款政府采购0万元：政府采购货物预算0万元、政府采购工程预算0万元、政府采购服务预算0万元。</w:t>
      </w:r>
    </w:p>
    <w:p w14:paraId="472C3AD7">
      <w:pPr>
        <w:spacing w:line="560" w:lineRule="exact"/>
        <w:ind w:firstLine="640" w:firstLineChars="200"/>
        <w:rPr>
          <w:rFonts w:ascii="方正仿宋_GBK" w:hAnsi="仿宋_GB2312" w:eastAsia="方正仿宋_GBK" w:cs="仿宋_GB2312"/>
          <w:color w:val="000000"/>
          <w:sz w:val="32"/>
        </w:rPr>
      </w:pPr>
      <w:r>
        <w:rPr>
          <w:rFonts w:ascii="方正仿宋_GBK" w:hAnsi="仿宋_GB2312" w:eastAsia="方正仿宋_GBK" w:cs="仿宋_GB2312"/>
          <w:sz w:val="32"/>
        </w:rPr>
        <w:t>3</w:t>
      </w:r>
      <w:r>
        <w:rPr>
          <w:rFonts w:hint="eastAsia" w:ascii="方正仿宋_GBK" w:hAnsi="仿宋_GB2312" w:eastAsia="方正仿宋_GBK" w:cs="仿宋_GB2312"/>
          <w:sz w:val="32"/>
        </w:rPr>
        <w:t>、</w:t>
      </w:r>
      <w:r>
        <w:rPr>
          <w:rFonts w:hint="eastAsia" w:ascii="方正仿宋_GBK" w:hAnsi="仿宋_GB2312" w:eastAsia="方正仿宋_GBK" w:cs="仿宋_GB2312"/>
          <w:color w:val="000000"/>
          <w:sz w:val="32"/>
        </w:rPr>
        <w:t>2021年项目支出均实行了绩效目标管理，涉及一般公共预算当年财政拨款1270万元。</w:t>
      </w:r>
    </w:p>
    <w:p w14:paraId="54021715">
      <w:pPr>
        <w:spacing w:line="560" w:lineRule="exact"/>
        <w:ind w:firstLine="640" w:firstLineChars="200"/>
        <w:rPr>
          <w:rFonts w:ascii="方正仿宋_GBK" w:hAnsi="仿宋_GB2312" w:eastAsia="方正仿宋_GBK" w:cs="仿宋_GB2312"/>
          <w:color w:val="000000"/>
          <w:sz w:val="32"/>
        </w:rPr>
      </w:pPr>
      <w:r>
        <w:rPr>
          <w:rFonts w:ascii="方正仿宋_GBK" w:hAnsi="仿宋_GB2312" w:eastAsia="方正仿宋_GBK" w:cs="仿宋_GB2312"/>
          <w:color w:val="000000"/>
          <w:sz w:val="32"/>
        </w:rPr>
        <w:t>4</w:t>
      </w:r>
      <w:r>
        <w:rPr>
          <w:rFonts w:hint="eastAsia" w:ascii="方正仿宋_GBK" w:hAnsi="仿宋_GB2312" w:eastAsia="方正仿宋_GBK" w:cs="仿宋_GB2312"/>
          <w:color w:val="000000"/>
          <w:sz w:val="32"/>
        </w:rPr>
        <w:t>、国有资产占有使用情况。</w:t>
      </w:r>
      <w:r>
        <w:rPr>
          <w:rFonts w:hint="eastAsia" w:ascii="方正仿宋_GBK" w:hAnsi="仿宋_GB2312" w:eastAsia="方正仿宋_GBK" w:cs="仿宋_GB2312"/>
          <w:color w:val="000000"/>
          <w:sz w:val="32"/>
          <w:lang w:eastAsia="zh-CN"/>
        </w:rPr>
        <w:t>截至</w:t>
      </w:r>
      <w:r>
        <w:rPr>
          <w:rFonts w:hint="eastAsia" w:ascii="方正仿宋_GBK" w:hAnsi="仿宋_GB2312" w:eastAsia="方正仿宋_GBK" w:cs="仿宋_GB2312"/>
          <w:color w:val="000000"/>
          <w:sz w:val="32"/>
        </w:rPr>
        <w:t>2020年12月，本单位共有车辆1辆，其中一般公务用车1辆。2021年一般公共预算安排购置车辆</w:t>
      </w:r>
      <w:r>
        <w:rPr>
          <w:rFonts w:ascii="方正仿宋_GBK" w:hAnsi="仿宋_GB2312" w:eastAsia="方正仿宋_GBK" w:cs="仿宋_GB2312"/>
          <w:color w:val="000000"/>
          <w:sz w:val="32"/>
        </w:rPr>
        <w:t>0</w:t>
      </w:r>
      <w:r>
        <w:rPr>
          <w:rFonts w:hint="eastAsia" w:ascii="方正仿宋_GBK" w:hAnsi="仿宋_GB2312" w:eastAsia="方正仿宋_GBK" w:cs="仿宋_GB2312"/>
          <w:color w:val="000000"/>
          <w:sz w:val="32"/>
        </w:rPr>
        <w:t>辆，其中一般公务用车</w:t>
      </w:r>
      <w:r>
        <w:rPr>
          <w:rFonts w:ascii="方正仿宋_GBK" w:hAnsi="仿宋_GB2312" w:eastAsia="方正仿宋_GBK" w:cs="仿宋_GB2312"/>
          <w:color w:val="000000"/>
          <w:sz w:val="32"/>
        </w:rPr>
        <w:t>0</w:t>
      </w:r>
      <w:r>
        <w:rPr>
          <w:rFonts w:hint="eastAsia" w:ascii="方正仿宋_GBK" w:hAnsi="仿宋_GB2312" w:eastAsia="方正仿宋_GBK" w:cs="仿宋_GB2312"/>
          <w:color w:val="000000"/>
          <w:sz w:val="32"/>
        </w:rPr>
        <w:t>辆、执勤执法用车</w:t>
      </w:r>
      <w:r>
        <w:rPr>
          <w:rFonts w:ascii="方正仿宋_GBK" w:hAnsi="仿宋_GB2312" w:eastAsia="方正仿宋_GBK" w:cs="仿宋_GB2312"/>
          <w:color w:val="000000"/>
          <w:sz w:val="32"/>
        </w:rPr>
        <w:t>0</w:t>
      </w:r>
      <w:r>
        <w:rPr>
          <w:rFonts w:hint="eastAsia" w:ascii="方正仿宋_GBK" w:hAnsi="仿宋_GB2312" w:eastAsia="方正仿宋_GBK" w:cs="仿宋_GB2312"/>
          <w:color w:val="000000"/>
          <w:sz w:val="32"/>
        </w:rPr>
        <w:t>辆。</w:t>
      </w:r>
    </w:p>
    <w:p w14:paraId="70950EA9">
      <w:pPr>
        <w:spacing w:line="560" w:lineRule="exact"/>
        <w:ind w:firstLine="640" w:firstLineChars="200"/>
        <w:rPr>
          <w:rFonts w:ascii="方正黑体_GBK" w:hAnsi="黑体" w:eastAsia="方正黑体_GBK" w:cs="仿宋_GB2312"/>
          <w:sz w:val="32"/>
        </w:rPr>
      </w:pPr>
      <w:r>
        <w:rPr>
          <w:rFonts w:hint="eastAsia" w:ascii="方正黑体_GBK" w:hAnsi="黑体" w:eastAsia="方正黑体_GBK" w:cs="仿宋_GB2312"/>
          <w:sz w:val="32"/>
        </w:rPr>
        <w:t>六</w:t>
      </w:r>
      <w:r>
        <w:rPr>
          <w:rFonts w:ascii="方正黑体_GBK" w:hAnsi="黑体" w:eastAsia="方正黑体_GBK" w:cs="仿宋_GB2312"/>
          <w:sz w:val="32"/>
        </w:rPr>
        <w:t>、</w:t>
      </w:r>
      <w:r>
        <w:rPr>
          <w:rFonts w:hint="eastAsia" w:ascii="方正黑体_GBK" w:hAnsi="黑体" w:eastAsia="方正黑体_GBK" w:cs="仿宋_GB2312"/>
          <w:sz w:val="32"/>
        </w:rPr>
        <w:t>专业性名词解释</w:t>
      </w:r>
    </w:p>
    <w:p w14:paraId="32BC5547">
      <w:pPr>
        <w:pStyle w:val="6"/>
        <w:tabs>
          <w:tab w:val="center" w:pos="4153"/>
          <w:tab w:val="left" w:pos="7275"/>
        </w:tabs>
        <w:spacing w:line="560" w:lineRule="exact"/>
        <w:ind w:firstLine="640"/>
        <w:jc w:val="left"/>
        <w:rPr>
          <w:rFonts w:ascii="方正仿宋_GBK" w:eastAsia="方正仿宋_GBK"/>
          <w:sz w:val="32"/>
          <w:szCs w:val="32"/>
        </w:rPr>
      </w:pPr>
      <w:r>
        <w:rPr>
          <w:rFonts w:hint="eastAsia" w:ascii="方正仿宋_GBK" w:eastAsia="方正仿宋_GBK"/>
          <w:sz w:val="32"/>
          <w:szCs w:val="32"/>
        </w:rPr>
        <w:t>（一）财政拨款收入：指本年度从本级财政部门取得的财政拨款，包括一般公共预算财政拨款和政府性基金预算财政拨款。</w:t>
      </w:r>
    </w:p>
    <w:p w14:paraId="0A4EF1BC">
      <w:pPr>
        <w:pStyle w:val="6"/>
        <w:tabs>
          <w:tab w:val="center" w:pos="4153"/>
          <w:tab w:val="left" w:pos="7275"/>
        </w:tabs>
        <w:spacing w:line="560" w:lineRule="exact"/>
        <w:ind w:firstLine="640"/>
        <w:jc w:val="left"/>
        <w:rPr>
          <w:rFonts w:ascii="方正仿宋_GBK" w:eastAsia="方正仿宋_GBK"/>
          <w:sz w:val="32"/>
          <w:szCs w:val="32"/>
        </w:rPr>
      </w:pPr>
      <w:r>
        <w:rPr>
          <w:rFonts w:hint="eastAsia" w:ascii="方正仿宋_GBK" w:eastAsia="方正仿宋_GBK"/>
          <w:sz w:val="32"/>
          <w:szCs w:val="32"/>
        </w:rPr>
        <w:t>（二）其他收入：指单位取得的除“财政拨款收入”、“事业收入”、“经营收入”等以外的收入。</w:t>
      </w:r>
    </w:p>
    <w:p w14:paraId="337FDAC7">
      <w:pPr>
        <w:pStyle w:val="6"/>
        <w:tabs>
          <w:tab w:val="center" w:pos="4153"/>
          <w:tab w:val="left" w:pos="7275"/>
        </w:tabs>
        <w:spacing w:line="560" w:lineRule="exact"/>
        <w:ind w:firstLine="640"/>
        <w:jc w:val="left"/>
        <w:rPr>
          <w:rFonts w:ascii="方正仿宋_GBK" w:eastAsia="方正仿宋_GBK"/>
          <w:sz w:val="32"/>
          <w:szCs w:val="32"/>
        </w:rPr>
      </w:pPr>
      <w:r>
        <w:rPr>
          <w:rFonts w:hint="eastAsia" w:ascii="方正仿宋_GBK" w:eastAsia="方正仿宋_GBK"/>
          <w:sz w:val="32"/>
          <w:szCs w:val="32"/>
        </w:rPr>
        <w:t>（三）基本支出：指为保障机构正常运转、完成日常工作任务而发生的人员经费和公用经费。</w:t>
      </w:r>
    </w:p>
    <w:p w14:paraId="089532AF">
      <w:pPr>
        <w:pStyle w:val="6"/>
        <w:tabs>
          <w:tab w:val="center" w:pos="4153"/>
          <w:tab w:val="left" w:pos="7275"/>
        </w:tabs>
        <w:spacing w:line="560" w:lineRule="exact"/>
        <w:ind w:firstLine="640"/>
        <w:jc w:val="left"/>
        <w:rPr>
          <w:rFonts w:ascii="方正仿宋_GBK" w:eastAsia="方正仿宋_GBK"/>
          <w:sz w:val="32"/>
          <w:szCs w:val="32"/>
        </w:rPr>
      </w:pPr>
      <w:r>
        <w:rPr>
          <w:rFonts w:hint="eastAsia" w:ascii="方正仿宋_GBK" w:eastAsia="方正仿宋_GBK"/>
          <w:sz w:val="32"/>
          <w:szCs w:val="32"/>
        </w:rPr>
        <w:t>（四）项目支出：指在基本支出之外为完成特定行政任务和事业发展目标所发生的支出。</w:t>
      </w:r>
    </w:p>
    <w:p w14:paraId="1FC5A623">
      <w:pPr>
        <w:spacing w:line="560" w:lineRule="exact"/>
        <w:ind w:firstLine="640" w:firstLineChars="200"/>
        <w:rPr>
          <w:rFonts w:ascii="方正仿宋_GBK" w:hAnsi="仿宋_GB2312" w:eastAsia="方正仿宋_GBK" w:cs="仿宋_GB2312"/>
          <w:color w:val="000000"/>
          <w:sz w:val="32"/>
        </w:rPr>
      </w:pPr>
      <w:r>
        <w:rPr>
          <w:rFonts w:hint="eastAsia" w:ascii="方正仿宋_GBK" w:eastAsia="方正仿宋_GBK"/>
          <w:sz w:val="32"/>
          <w:szCs w:val="32"/>
        </w:rPr>
        <w:t>（五）“三公”经费：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610FD4DC">
      <w:pPr>
        <w:spacing w:line="56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 xml:space="preserve">预算公开联系人：汤茜    </w:t>
      </w:r>
      <w:r>
        <w:rPr>
          <w:rFonts w:hint="eastAsia" w:ascii="方正仿宋_GBK" w:eastAsia="方正仿宋_GBK"/>
          <w:sz w:val="32"/>
        </w:rPr>
        <w:t>电话：023-63711523</w:t>
      </w:r>
    </w:p>
    <w:p w14:paraId="23ED76A9">
      <w:pPr>
        <w:spacing w:line="560" w:lineRule="exact"/>
      </w:pPr>
    </w:p>
    <w:sectPr>
      <w:footerReference r:id="rId3" w:type="even"/>
      <w:pgSz w:w="11906" w:h="16838"/>
      <w:pgMar w:top="1440" w:right="1440" w:bottom="1440" w:left="144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0000000000000000000"/>
    <w:charset w:val="86"/>
    <w:family w:val="script"/>
    <w:pitch w:val="default"/>
    <w:sig w:usb0="00000000" w:usb1="00000000" w:usb2="00000010" w:usb3="00000000" w:csb0="00040000" w:csb1="00000000"/>
  </w:font>
  <w:font w:name="华文中宋">
    <w:altName w:val="宋体"/>
    <w:panose1 w:val="00000000000000000000"/>
    <w:charset w:val="86"/>
    <w:family w:val="auto"/>
    <w:pitch w:val="default"/>
    <w:sig w:usb0="00000000" w:usb1="00000000" w:usb2="00000010" w:usb3="00000000" w:csb0="0004009F" w:csb1="00000000"/>
  </w:font>
  <w:font w:name="方正黑体_GBK">
    <w:altName w:val="微软雅黑"/>
    <w:panose1 w:val="00000000000000000000"/>
    <w:charset w:val="86"/>
    <w:family w:val="script"/>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楷体_GBK">
    <w:altName w:val="微软雅黑"/>
    <w:panose1 w:val="00000000000000000000"/>
    <w:charset w:val="86"/>
    <w:family w:val="script"/>
    <w:pitch w:val="default"/>
    <w:sig w:usb0="00000000" w:usb1="00000000" w:usb2="00000010" w:usb3="00000000" w:csb0="00040000"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KSOF8235D1FC">
    <w:panose1 w:val="020B0703020204020201"/>
    <w:charset w:val="86"/>
    <w:family w:val="auto"/>
    <w:pitch w:val="default"/>
    <w:sig w:usb0="00000001" w:usb1="00000000" w:usb2="00000000" w:usb3="00000000" w:csb0="00040001" w:csb1="00000000"/>
  </w:font>
  <w:font w:name="KSOFD8A28030">
    <w:panose1 w:val="020B0503020204020204"/>
    <w:charset w:val="86"/>
    <w:family w:val="auto"/>
    <w:pitch w:val="default"/>
    <w:sig w:usb0="00000001" w:usb1="00000000" w:usb2="00000000"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0819022"/>
      <w:docPartObj>
        <w:docPartGallery w:val="AutoText"/>
      </w:docPartObj>
    </w:sdtPr>
    <w:sdtContent>
      <w:p w14:paraId="6F406B51">
        <w:pPr>
          <w:pStyle w:val="2"/>
        </w:pPr>
        <w:r>
          <w:rPr>
            <w:rFonts w:hint="eastAsia" w:ascii="方正仿宋_GBK" w:eastAsia="方正仿宋_GBK"/>
            <w:sz w:val="28"/>
            <w:szCs w:val="28"/>
          </w:rPr>
          <w:fldChar w:fldCharType="begin"/>
        </w:r>
        <w:r>
          <w:rPr>
            <w:rFonts w:hint="eastAsia" w:ascii="方正仿宋_GBK" w:eastAsia="方正仿宋_GBK"/>
            <w:sz w:val="28"/>
            <w:szCs w:val="28"/>
          </w:rPr>
          <w:instrText xml:space="preserve"> PAGE   \* MERGEFORMAT </w:instrText>
        </w:r>
        <w:r>
          <w:rPr>
            <w:rFonts w:hint="eastAsia" w:ascii="方正仿宋_GBK" w:eastAsia="方正仿宋_GBK"/>
            <w:sz w:val="28"/>
            <w:szCs w:val="28"/>
          </w:rPr>
          <w:fldChar w:fldCharType="separate"/>
        </w:r>
        <w:r>
          <w:rPr>
            <w:rFonts w:ascii="方正仿宋_GBK" w:eastAsia="方正仿宋_GBK"/>
            <w:sz w:val="28"/>
            <w:szCs w:val="28"/>
            <w:lang w:val="zh-CN"/>
          </w:rPr>
          <w:t>-</w:t>
        </w:r>
        <w:r>
          <w:rPr>
            <w:rFonts w:ascii="方正仿宋_GBK" w:eastAsia="方正仿宋_GBK"/>
            <w:sz w:val="28"/>
            <w:szCs w:val="28"/>
          </w:rPr>
          <w:t xml:space="preserve"> 2 -</w:t>
        </w:r>
        <w:r>
          <w:rPr>
            <w:rFonts w:hint="eastAsia" w:ascii="方正仿宋_GBK" w:eastAsia="方正仿宋_GBK"/>
            <w:sz w:val="28"/>
            <w:szCs w:val="28"/>
          </w:rPr>
          <w:fldChar w:fldCharType="end"/>
        </w:r>
      </w:p>
    </w:sdtContent>
  </w:sdt>
  <w:p w14:paraId="02BA2BAC">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594"/>
    <w:rsid w:val="000345F5"/>
    <w:rsid w:val="000F4838"/>
    <w:rsid w:val="0010600A"/>
    <w:rsid w:val="00186A6E"/>
    <w:rsid w:val="001F7255"/>
    <w:rsid w:val="002B5DEC"/>
    <w:rsid w:val="00372829"/>
    <w:rsid w:val="003E627A"/>
    <w:rsid w:val="00483571"/>
    <w:rsid w:val="00484B2C"/>
    <w:rsid w:val="004B5E64"/>
    <w:rsid w:val="004F1D2E"/>
    <w:rsid w:val="005023C5"/>
    <w:rsid w:val="00566932"/>
    <w:rsid w:val="005B117C"/>
    <w:rsid w:val="005D14C4"/>
    <w:rsid w:val="00636A3D"/>
    <w:rsid w:val="0067789C"/>
    <w:rsid w:val="006D2EF1"/>
    <w:rsid w:val="006E2DD6"/>
    <w:rsid w:val="00796F5F"/>
    <w:rsid w:val="007D0594"/>
    <w:rsid w:val="007D6D09"/>
    <w:rsid w:val="0084496B"/>
    <w:rsid w:val="00860DA8"/>
    <w:rsid w:val="009451F4"/>
    <w:rsid w:val="009519D7"/>
    <w:rsid w:val="009A0099"/>
    <w:rsid w:val="009B398C"/>
    <w:rsid w:val="00A40D44"/>
    <w:rsid w:val="00A453B6"/>
    <w:rsid w:val="00B24AF5"/>
    <w:rsid w:val="00B814B7"/>
    <w:rsid w:val="00BB11F5"/>
    <w:rsid w:val="00BF1800"/>
    <w:rsid w:val="00C97DED"/>
    <w:rsid w:val="00CA1737"/>
    <w:rsid w:val="00CB2BBC"/>
    <w:rsid w:val="00D64F77"/>
    <w:rsid w:val="00D9488D"/>
    <w:rsid w:val="00DD2B1F"/>
    <w:rsid w:val="00EB2DDD"/>
    <w:rsid w:val="00F66225"/>
    <w:rsid w:val="00FA35B7"/>
    <w:rsid w:val="77366A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34"/>
    <w:pPr>
      <w:ind w:firstLine="420" w:firstLineChars="200"/>
    </w:pPr>
  </w:style>
  <w:style w:type="character" w:customStyle="1" w:styleId="7">
    <w:name w:val="页眉 字符"/>
    <w:basedOn w:val="5"/>
    <w:link w:val="3"/>
    <w:semiHidden/>
    <w:uiPriority w:val="99"/>
    <w:rPr>
      <w:rFonts w:ascii="Calibri" w:hAnsi="Calibri" w:eastAsia="宋体" w:cs="Times New Roman"/>
      <w:sz w:val="18"/>
      <w:szCs w:val="18"/>
    </w:rPr>
  </w:style>
  <w:style w:type="character" w:customStyle="1" w:styleId="8">
    <w:name w:val="页脚 字符"/>
    <w:basedOn w:val="5"/>
    <w:link w:val="2"/>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1447</Words>
  <Characters>1644</Characters>
  <Lines>11</Lines>
  <Paragraphs>3</Paragraphs>
  <TotalTime>0</TotalTime>
  <ScaleCrop>false</ScaleCrop>
  <LinksUpToDate>false</LinksUpToDate>
  <CharactersWithSpaces>1650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2022-08-29T07:08:00Z</dcterms:created>
  <dc:creator>hp</dc:creator>
  <cp:lastModifiedBy>温星星</cp:lastModifiedBy>
  <dcterms:modified xsi:type="dcterms:W3CDTF">2026-07-08T06:29:35Z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eyJoZGlkIjoiNzc3NzU5NmE2ODY3MWUxMWNmODdhODQyM2ViNzc5YWMiLCJ1c2VySWQiOiIxMzIzODcwMDMzIn0=</vt:lpwstr>
  </property>
  <property fmtid="{D5CDD505-2E9C-101B-9397-08002B2CF9AE}" pid="3" name="KSOProductBuildVer">
    <vt:lpwstr>2052-12.1.0.26895</vt:lpwstr>
  </property>
  <property fmtid="{D5CDD505-2E9C-101B-9397-08002B2CF9AE}" pid="4" name="ICV">
    <vt:lpwstr>1387815EE1E648A5B1874D66EFD47773_12</vt:lpwstr>
  </property>
</Properties>
</file>