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方正仿宋_GBK" w:hAnsi="华文中宋" w:eastAsia="方正仿宋_GBK" w:cs="华文中宋"/>
          <w:b/>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_GBK" w:hAnsi="华文中宋" w:eastAsia="方正小标宋_GBK" w:cs="华文中宋"/>
          <w:sz w:val="44"/>
          <w:szCs w:val="44"/>
        </w:rPr>
      </w:pPr>
      <w:r>
        <w:rPr>
          <w:rFonts w:hint="eastAsia" w:ascii="方正小标宋_GBK" w:hAnsi="华文中宋" w:eastAsia="方正小标宋_GBK" w:cs="华文中宋"/>
          <w:sz w:val="44"/>
          <w:szCs w:val="44"/>
        </w:rPr>
        <w:t>重庆市璧山区消费者权益保护委员会</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_GBK" w:hAnsi="华文中宋" w:eastAsia="方正小标宋_GBK" w:cs="华文中宋"/>
          <w:sz w:val="44"/>
          <w:szCs w:val="44"/>
        </w:rPr>
      </w:pPr>
      <w:r>
        <w:rPr>
          <w:rFonts w:hint="eastAsia" w:ascii="方正小标宋_GBK" w:hAnsi="华文中宋" w:eastAsia="方正小标宋_GBK" w:cs="华文中宋"/>
          <w:sz w:val="44"/>
          <w:szCs w:val="44"/>
        </w:rPr>
        <w:t>2021年单位预算情况说明</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880" w:firstLineChars="200"/>
        <w:jc w:val="center"/>
        <w:textAlignment w:val="auto"/>
        <w:outlineLvl w:val="9"/>
        <w:rPr>
          <w:rFonts w:hint="eastAsia" w:ascii="华文中宋" w:hAnsi="华文中宋" w:eastAsia="华文中宋" w:cs="华文中宋"/>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方正黑体_GBK" w:hAnsi="方正黑体_GBK" w:eastAsia="方正黑体_GBK" w:cs="方正黑体_GBK"/>
          <w:sz w:val="32"/>
        </w:rPr>
      </w:pPr>
      <w:r>
        <w:rPr>
          <w:rFonts w:hint="eastAsia" w:ascii="方正黑体_GBK" w:hAnsi="方正黑体_GBK" w:eastAsia="方正黑体_GBK" w:cs="方正黑体_GBK"/>
          <w:sz w:val="32"/>
        </w:rPr>
        <w:t>一、单位基本情况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方正楷体_GBK" w:hAnsi="方正楷体_GBK" w:eastAsia="方正楷体_GBK" w:cs="方正楷体_GBK"/>
          <w:sz w:val="32"/>
        </w:rPr>
      </w:pPr>
      <w:r>
        <w:rPr>
          <w:rFonts w:hint="eastAsia" w:ascii="方正楷体_GBK" w:hAnsi="方正楷体_GBK" w:eastAsia="方正楷体_GBK" w:cs="方正楷体_GBK"/>
          <w:sz w:val="32"/>
        </w:rPr>
        <w:t>（一）职能职责</w:t>
      </w:r>
    </w:p>
    <w:p>
      <w:pPr>
        <w:pStyle w:val="2"/>
        <w:keepNext w:val="0"/>
        <w:keepLines w:val="0"/>
        <w:pageBreakBefore w:val="0"/>
        <w:widowControl w:val="0"/>
        <w:kinsoku/>
        <w:wordWrap/>
        <w:overflowPunct/>
        <w:topLinePunct w:val="0"/>
        <w:autoSpaceDE/>
        <w:autoSpaceDN/>
        <w:bidi w:val="0"/>
        <w:adjustRightInd/>
        <w:snapToGrid/>
        <w:spacing w:line="560" w:lineRule="exact"/>
        <w:ind w:right="0" w:rightChars="0" w:firstLine="320" w:firstLineChars="100"/>
        <w:textAlignment w:val="auto"/>
        <w:outlineLvl w:val="9"/>
        <w:rPr>
          <w:rFonts w:hint="eastAsia" w:ascii="方正仿宋_GBK" w:hAnsi="方正仿宋_GBK" w:eastAsia="方正仿宋_GBK" w:cs="方正仿宋_GBK"/>
          <w:sz w:val="32"/>
          <w:szCs w:val="22"/>
        </w:rPr>
      </w:pPr>
      <w:r>
        <w:rPr>
          <w:rFonts w:hint="eastAsia" w:ascii="方正仿宋_GBK" w:hAnsi="方正仿宋_GBK" w:eastAsia="方正仿宋_GBK" w:cs="方正仿宋_GBK"/>
          <w:sz w:val="32"/>
          <w:szCs w:val="22"/>
        </w:rPr>
        <w:t xml:space="preserve"> </w:t>
      </w:r>
      <w:r>
        <w:rPr>
          <w:rFonts w:hint="eastAsia" w:ascii="方正仿宋_GBK" w:hAnsi="方正仿宋_GBK" w:eastAsia="方正仿宋_GBK" w:cs="方正仿宋_GBK"/>
          <w:sz w:val="32"/>
          <w:szCs w:val="22"/>
          <w:lang w:val="en-US" w:eastAsia="zh-CN"/>
        </w:rPr>
        <w:t xml:space="preserve"> </w:t>
      </w:r>
      <w:r>
        <w:rPr>
          <w:rFonts w:hint="eastAsia" w:ascii="方正仿宋_GBK" w:hAnsi="方正仿宋_GBK" w:eastAsia="方正仿宋_GBK" w:cs="方正仿宋_GBK"/>
          <w:sz w:val="32"/>
          <w:szCs w:val="22"/>
        </w:rPr>
        <w:t>重庆市璧山区消费者权益保护委员会（以下简称璧山区消委会），是经重庆市璧山区人民政府批准，依法成立的对商品和服务进行社会监督、保护消费者合法权益的社会团体。</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璧山区消委会在重庆市璧山区人民政府领导下开展工作。重庆市璧山区市场监督管理局是本会的业务主管部门；璧山区消委会接受重庆市消委会的业务指导，在工作中与市场监督管理、文化和旅游发展委、住房和城乡建设委、教委、新闻等各部门保持密切联系，共同做好保护消费者合法权益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璧山区消委会按照《中华人民共和国消费者权益保护法》和《重庆市消费者权益保护条例》规定，履行下列职能：</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1" w:firstLineChars="200"/>
        <w:textAlignment w:val="auto"/>
        <w:outlineLvl w:val="9"/>
        <w:rPr>
          <w:rFonts w:hint="eastAsia" w:ascii="方正仿宋_GBK" w:hAnsi="仿宋_GB2312" w:eastAsia="方正仿宋_GBK" w:cs="仿宋_GB2312"/>
          <w:sz w:val="32"/>
        </w:rPr>
      </w:pPr>
      <w:r>
        <w:rPr>
          <w:rFonts w:hint="eastAsia" w:ascii="方正仿宋_GBK" w:hAnsi="仿宋_GB2312" w:eastAsia="方正仿宋_GBK" w:cs="仿宋_GB2312"/>
          <w:b/>
          <w:bCs/>
          <w:sz w:val="32"/>
        </w:rPr>
        <w:t>一是</w:t>
      </w:r>
      <w:r>
        <w:rPr>
          <w:rFonts w:hint="eastAsia" w:ascii="方正仿宋_GBK" w:hAnsi="仿宋_GB2312" w:eastAsia="方正仿宋_GBK" w:cs="仿宋_GB2312"/>
          <w:sz w:val="32"/>
        </w:rPr>
        <w:t>宣传保护消费者权益的法律、法规，开展消费教育，提高消费者依法维护合法权益的能力；</w:t>
      </w:r>
      <w:r>
        <w:rPr>
          <w:rFonts w:hint="eastAsia" w:ascii="方正仿宋_GBK" w:hAnsi="仿宋_GB2312" w:eastAsia="方正仿宋_GBK" w:cs="仿宋_GB2312"/>
          <w:b/>
          <w:bCs/>
          <w:sz w:val="32"/>
        </w:rPr>
        <w:t>二是</w:t>
      </w:r>
      <w:r>
        <w:rPr>
          <w:rFonts w:hint="eastAsia" w:ascii="方正仿宋_GBK" w:hAnsi="仿宋_GB2312" w:eastAsia="方正仿宋_GBK" w:cs="仿宋_GB2312"/>
          <w:sz w:val="32"/>
        </w:rPr>
        <w:t>向消费者提供消费信息和咨询服务，引导文明、健康、节约资源和保护环境的消费方式；</w:t>
      </w:r>
      <w:r>
        <w:rPr>
          <w:rFonts w:hint="eastAsia" w:ascii="方正仿宋_GBK" w:hAnsi="仿宋_GB2312" w:eastAsia="方正仿宋_GBK" w:cs="仿宋_GB2312"/>
          <w:b/>
          <w:bCs/>
          <w:sz w:val="32"/>
        </w:rPr>
        <w:t>三是</w:t>
      </w:r>
      <w:r>
        <w:rPr>
          <w:rFonts w:hint="eastAsia" w:ascii="方正仿宋_GBK" w:hAnsi="仿宋_GB2312" w:eastAsia="方正仿宋_GBK" w:cs="仿宋_GB2312"/>
          <w:sz w:val="32"/>
        </w:rPr>
        <w:t>参与或组织有关行政部门对商品和服务的质量、价格、卫生、安全、计量等进行监督、检查和测定；</w:t>
      </w:r>
      <w:r>
        <w:rPr>
          <w:rFonts w:hint="eastAsia" w:ascii="方正仿宋_GBK" w:hAnsi="仿宋_GB2312" w:eastAsia="方正仿宋_GBK" w:cs="仿宋_GB2312"/>
          <w:b/>
          <w:bCs/>
          <w:sz w:val="32"/>
        </w:rPr>
        <w:t>四是</w:t>
      </w:r>
      <w:r>
        <w:rPr>
          <w:rFonts w:hint="eastAsia" w:ascii="方正仿宋_GBK" w:hAnsi="仿宋_GB2312" w:eastAsia="方正仿宋_GBK" w:cs="仿宋_GB2312"/>
          <w:sz w:val="32"/>
        </w:rPr>
        <w:t>受理消费者的投诉，并对投诉事项进行调查，公平、公正调解消费纠纷；</w:t>
      </w:r>
      <w:r>
        <w:rPr>
          <w:rFonts w:hint="eastAsia" w:ascii="方正仿宋_GBK" w:hAnsi="仿宋_GB2312" w:eastAsia="方正仿宋_GBK" w:cs="仿宋_GB2312"/>
          <w:b/>
          <w:bCs/>
          <w:sz w:val="32"/>
        </w:rPr>
        <w:t>五是</w:t>
      </w:r>
      <w:r>
        <w:rPr>
          <w:rFonts w:hint="eastAsia" w:ascii="方正仿宋_GBK" w:hAnsi="仿宋_GB2312" w:eastAsia="方正仿宋_GBK" w:cs="仿宋_GB2312"/>
          <w:sz w:val="32"/>
        </w:rPr>
        <w:t>投诉事项涉及商品和服务质量问题的，提请鉴定部门鉴定，或者提出意见转有关行政部门和单位处理，必要时可以公布投诉情况和处理结果；</w:t>
      </w:r>
      <w:r>
        <w:rPr>
          <w:rFonts w:hint="eastAsia" w:ascii="方正仿宋_GBK" w:hAnsi="仿宋_GB2312" w:eastAsia="方正仿宋_GBK" w:cs="仿宋_GB2312"/>
          <w:b/>
          <w:bCs/>
          <w:sz w:val="32"/>
        </w:rPr>
        <w:t>六是</w:t>
      </w:r>
      <w:r>
        <w:rPr>
          <w:rFonts w:hint="eastAsia" w:ascii="方正仿宋_GBK" w:hAnsi="仿宋_GB2312" w:eastAsia="方正仿宋_GBK" w:cs="仿宋_GB2312"/>
          <w:sz w:val="32"/>
        </w:rPr>
        <w:t>就保护消费者合法权益的有关问题，向有关行政部门反映情况，提出建议；</w:t>
      </w:r>
      <w:r>
        <w:rPr>
          <w:rFonts w:hint="eastAsia" w:ascii="方正仿宋_GBK" w:hAnsi="仿宋_GB2312" w:eastAsia="方正仿宋_GBK" w:cs="仿宋_GB2312"/>
          <w:b/>
          <w:bCs/>
          <w:sz w:val="32"/>
        </w:rPr>
        <w:t>七是</w:t>
      </w:r>
      <w:r>
        <w:rPr>
          <w:rFonts w:hint="eastAsia" w:ascii="方正仿宋_GBK" w:hAnsi="仿宋_GB2312" w:eastAsia="方正仿宋_GBK" w:cs="仿宋_GB2312"/>
          <w:sz w:val="32"/>
        </w:rPr>
        <w:t>支持权益受损害的消费者提起诉讼，并提供法律援助；</w:t>
      </w:r>
      <w:r>
        <w:rPr>
          <w:rFonts w:hint="eastAsia" w:ascii="方正仿宋_GBK" w:hAnsi="仿宋_GB2312" w:eastAsia="方正仿宋_GBK" w:cs="仿宋_GB2312"/>
          <w:b/>
          <w:bCs/>
          <w:sz w:val="32"/>
        </w:rPr>
        <w:t>八是</w:t>
      </w:r>
      <w:r>
        <w:rPr>
          <w:rFonts w:hint="eastAsia" w:ascii="方正仿宋_GBK" w:hAnsi="仿宋_GB2312" w:eastAsia="方正仿宋_GBK" w:cs="仿宋_GB2312"/>
          <w:sz w:val="32"/>
        </w:rPr>
        <w:t>建立健全披露机制，对损害消费者合法权益的行为，通过大众传播媒介予以揭露、批评；</w:t>
      </w:r>
      <w:r>
        <w:rPr>
          <w:rFonts w:hint="eastAsia" w:ascii="方正仿宋_GBK" w:hAnsi="仿宋_GB2312" w:eastAsia="方正仿宋_GBK" w:cs="仿宋_GB2312"/>
          <w:b/>
          <w:bCs/>
          <w:sz w:val="32"/>
        </w:rPr>
        <w:t>九是</w:t>
      </w:r>
      <w:r>
        <w:rPr>
          <w:rFonts w:hint="eastAsia" w:ascii="方正仿宋_GBK" w:hAnsi="仿宋_GB2312" w:eastAsia="方正仿宋_GBK" w:cs="仿宋_GB2312"/>
          <w:sz w:val="32"/>
        </w:rPr>
        <w:t>对辖区内的消委会分会、投诉站、联络站等基层组织进行业务指导；</w:t>
      </w:r>
      <w:r>
        <w:rPr>
          <w:rFonts w:hint="eastAsia" w:ascii="方正仿宋_GBK" w:hAnsi="仿宋_GB2312" w:eastAsia="方正仿宋_GBK" w:cs="仿宋_GB2312"/>
          <w:b/>
          <w:bCs/>
          <w:sz w:val="32"/>
        </w:rPr>
        <w:t>十是</w:t>
      </w:r>
      <w:r>
        <w:rPr>
          <w:rFonts w:hint="eastAsia" w:ascii="方正仿宋_GBK" w:hAnsi="仿宋_GB2312" w:eastAsia="方正仿宋_GBK" w:cs="仿宋_GB2312"/>
          <w:sz w:val="32"/>
        </w:rPr>
        <w:t>法律、法规规定的其他职能。</w:t>
      </w:r>
    </w:p>
    <w:p>
      <w:pPr>
        <w:pStyle w:val="5"/>
        <w:keepNext w:val="0"/>
        <w:keepLines w:val="0"/>
        <w:pageBreakBefore w:val="0"/>
        <w:widowControl w:val="0"/>
        <w:tabs>
          <w:tab w:val="center" w:pos="4153"/>
          <w:tab w:val="left" w:pos="7275"/>
        </w:tabs>
        <w:kinsoku/>
        <w:wordWrap/>
        <w:overflowPunct/>
        <w:topLinePunct w:val="0"/>
        <w:autoSpaceDE/>
        <w:autoSpaceDN/>
        <w:bidi w:val="0"/>
        <w:adjustRightInd/>
        <w:snapToGrid/>
        <w:spacing w:line="560" w:lineRule="exact"/>
        <w:ind w:left="640" w:right="0" w:rightChars="0" w:firstLine="0" w:firstLineChars="0"/>
        <w:jc w:val="left"/>
        <w:textAlignment w:val="auto"/>
        <w:outlineLvl w:val="9"/>
        <w:rPr>
          <w:rFonts w:hint="eastAsia" w:ascii="方正楷体_GBK" w:hAnsi="方正楷体_GBK" w:eastAsia="方正楷体_GBK" w:cs="方正楷体_GBK"/>
          <w:sz w:val="32"/>
        </w:rPr>
      </w:pPr>
      <w:r>
        <w:rPr>
          <w:rFonts w:hint="eastAsia" w:ascii="方正楷体_GBK" w:hAnsi="方正楷体_GBK" w:eastAsia="方正楷体_GBK" w:cs="方正楷体_GBK"/>
          <w:sz w:val="32"/>
        </w:rPr>
        <w:t>（二）单位构成</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方正仿宋_GBK" w:hAnsi="仿宋_GB2312" w:eastAsia="方正仿宋_GBK" w:cs="仿宋_GB2312"/>
          <w:sz w:val="32"/>
        </w:rPr>
      </w:pPr>
      <w:r>
        <w:rPr>
          <w:rFonts w:hint="eastAsia" w:ascii="方正仿宋_GBK" w:hAnsi="仿宋_GB2312" w:eastAsia="方正仿宋_GBK" w:cs="仿宋_GB2312"/>
          <w:sz w:val="32"/>
        </w:rPr>
        <w:t>璧山区消委会无内设机构。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方正黑体_GBK" w:hAnsi="方正黑体_GBK" w:eastAsia="方正黑体_GBK" w:cs="方正黑体_GBK"/>
          <w:sz w:val="32"/>
        </w:rPr>
      </w:pPr>
      <w:r>
        <w:rPr>
          <w:rFonts w:hint="eastAsia" w:ascii="方正黑体_GBK" w:hAnsi="方正黑体_GBK" w:eastAsia="方正黑体_GBK" w:cs="方正黑体_GBK"/>
          <w:sz w:val="32"/>
        </w:rPr>
        <w:t>二、单位收支总体情况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方正仿宋_GBK" w:hAnsi="仿宋_GB2312" w:eastAsia="方正仿宋_GBK" w:cs="仿宋_GB2312"/>
          <w:sz w:val="32"/>
        </w:rPr>
      </w:pPr>
      <w:r>
        <w:rPr>
          <w:rFonts w:hint="eastAsia" w:ascii="方正仿宋_GBK" w:hAnsi="仿宋_GB2312" w:eastAsia="方正仿宋_GBK" w:cs="仿宋_GB2312"/>
          <w:sz w:val="32"/>
        </w:rPr>
        <w:t>（一）收入预算：2021年年初预算数67.79万元，其中：一般公共预算拨款67.79万元，政府性基金预算拨款0万元，国有资本经营预算收入0万元，事业收入0万元，事业单位经营收入0万元，其他收入0万元。收入较2020年减少1.82万元，主要是基本支出按政策减少。</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方正仿宋_GBK" w:hAnsi="仿宋_GB2312" w:eastAsia="方正仿宋_GBK" w:cs="仿宋_GB2312"/>
          <w:sz w:val="32"/>
        </w:rPr>
      </w:pPr>
      <w:r>
        <w:rPr>
          <w:rFonts w:hint="eastAsia" w:ascii="方正仿宋_GBK" w:hAnsi="仿宋_GB2312" w:eastAsia="方正仿宋_GBK" w:cs="仿宋_GB2312"/>
          <w:sz w:val="32"/>
        </w:rPr>
        <w:t>（二）支出预算：2021年年初预算数67.79万元，其中：一般公共服务支出预算54.24万元，社会保障和就业支出预算7.15万元，卫生健康支出预算2.83万元，住房保障支出预算3.57万元。支出预算较2020年减少1.82万元，主要是基本支出预算减少1.82万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方正黑体_GBK" w:hAnsi="方正黑体_GBK" w:eastAsia="方正黑体_GBK" w:cs="方正黑体_GBK"/>
          <w:sz w:val="32"/>
        </w:rPr>
      </w:pPr>
      <w:r>
        <w:rPr>
          <w:rFonts w:hint="eastAsia" w:ascii="方正黑体_GBK" w:hAnsi="方正黑体_GBK" w:eastAsia="方正黑体_GBK" w:cs="方正黑体_GBK"/>
          <w:sz w:val="32"/>
        </w:rPr>
        <w:t>三、单位预算情况说明</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方正仿宋_GBK" w:hAnsi="仿宋_GB2312" w:eastAsia="方正仿宋_GBK" w:cs="仿宋_GB2312"/>
          <w:sz w:val="32"/>
        </w:rPr>
      </w:pPr>
      <w:r>
        <w:rPr>
          <w:rFonts w:hint="eastAsia" w:ascii="方正仿宋_GBK" w:hAnsi="仿宋_GB2312" w:eastAsia="方正仿宋_GBK" w:cs="仿宋_GB2312"/>
          <w:sz w:val="32"/>
        </w:rPr>
        <w:t>2021年一般公共预算财政拨款收入67.79万元，一般公共预算财政拨款支出67.79万元，比2020年减少1.82万元。其中：基本支出67.79万元，比2020年减少1.82万元，主要原因是基本支出政策性减少。主要用于保障在职人员工资福利及社会保险缴费，退休人员补助等，保障单位正常运转的各项商品服务支出</w:t>
      </w:r>
      <w:r>
        <w:rPr>
          <w:rFonts w:hint="eastAsia" w:ascii="方正仿宋_GBK" w:hAnsi="仿宋_GB2312" w:eastAsia="方正仿宋_GBK" w:cs="仿宋_GB2312"/>
          <w:sz w:val="32"/>
          <w:lang w:eastAsia="zh-CN"/>
        </w:rPr>
        <w:t>；无项目支出</w:t>
      </w:r>
      <w:r>
        <w:rPr>
          <w:rFonts w:hint="eastAsia" w:ascii="方正仿宋_GBK" w:hAnsi="仿宋_GB2312" w:eastAsia="方正仿宋_GBK" w:cs="仿宋_GB2312"/>
          <w:sz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方正仿宋_GBK" w:hAnsi="仿宋_GB2312" w:eastAsia="方正仿宋_GBK" w:cs="仿宋_GB2312"/>
          <w:sz w:val="32"/>
        </w:rPr>
      </w:pPr>
      <w:r>
        <w:rPr>
          <w:rFonts w:hint="eastAsia" w:ascii="方正仿宋_GBK" w:hAnsi="仿宋_GB2312" w:eastAsia="方正仿宋_GBK" w:cs="仿宋_GB2312"/>
          <w:sz w:val="32"/>
        </w:rPr>
        <w:t xml:space="preserve"> 璧山区消委会2021年无使用政府性基金预算拨款安排的支出，与2020年一致。</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方正黑体_GBK" w:hAnsi="方正黑体_GBK" w:eastAsia="方正黑体_GBK" w:cs="方正黑体_GBK"/>
          <w:sz w:val="32"/>
        </w:rPr>
      </w:pPr>
      <w:r>
        <w:rPr>
          <w:rFonts w:hint="eastAsia" w:ascii="方正黑体_GBK" w:hAnsi="方正黑体_GBK" w:eastAsia="方正黑体_GBK" w:cs="方正黑体_GBK"/>
          <w:sz w:val="32"/>
        </w:rPr>
        <w:t>四、“三公”经费情况说明</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textAlignment w:val="auto"/>
        <w:outlineLvl w:val="9"/>
        <w:rPr>
          <w:rFonts w:hint="eastAsia" w:ascii="方正仿宋_GBK" w:hAnsi="仿宋_GB2312" w:eastAsia="方正仿宋_GBK" w:cs="仿宋_GB2312"/>
          <w:sz w:val="32"/>
        </w:rPr>
      </w:pPr>
      <w:r>
        <w:rPr>
          <w:rFonts w:ascii="Times New Roman" w:hAnsi="Times New Roman" w:eastAsia="方正仿宋_GBK"/>
          <w:sz w:val="32"/>
        </w:rPr>
        <w:t>2021</w:t>
      </w:r>
      <w:r>
        <w:rPr>
          <w:rFonts w:hint="eastAsia" w:ascii="方正仿宋_GBK" w:hAnsi="仿宋_GB2312" w:eastAsia="方正仿宋_GBK" w:cs="仿宋_GB2312"/>
          <w:sz w:val="32"/>
        </w:rPr>
        <w:t>年“三公”经费预算</w:t>
      </w:r>
      <w:r>
        <w:rPr>
          <w:rFonts w:ascii="Times New Roman" w:hAnsi="Times New Roman" w:eastAsia="方正仿宋_GBK"/>
          <w:sz w:val="32"/>
        </w:rPr>
        <w:t>0万元，与2020</w:t>
      </w:r>
      <w:r>
        <w:rPr>
          <w:rFonts w:hint="eastAsia" w:ascii="方正仿宋_GBK" w:hAnsi="仿宋_GB2312" w:eastAsia="方正仿宋_GBK" w:cs="仿宋_GB2312"/>
          <w:sz w:val="32"/>
        </w:rPr>
        <w:t>年一致。</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方正黑体_GBK" w:hAnsi="方正黑体_GBK" w:eastAsia="方正黑体_GBK" w:cs="方正黑体_GBK"/>
          <w:sz w:val="32"/>
        </w:rPr>
      </w:pPr>
      <w:r>
        <w:rPr>
          <w:rFonts w:hint="eastAsia" w:ascii="方正黑体_GBK" w:hAnsi="方正黑体_GBK" w:eastAsia="方正黑体_GBK" w:cs="方正黑体_GBK"/>
          <w:sz w:val="32"/>
        </w:rPr>
        <w:t>五、其他重要事项的情况说明</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方正仿宋_GBK" w:hAnsi="仿宋_GB2312" w:eastAsia="方正仿宋_GBK" w:cs="仿宋_GB2312"/>
          <w:sz w:val="32"/>
        </w:rPr>
      </w:pPr>
      <w:r>
        <w:rPr>
          <w:rFonts w:hint="eastAsia" w:ascii="方正仿宋_GBK" w:hAnsi="仿宋_GB2312" w:eastAsia="方正仿宋_GBK" w:cs="仿宋_GB2312"/>
          <w:sz w:val="32"/>
        </w:rPr>
        <w:t>1.我单位不在机关运行经费统计范围之内。</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方正仿宋_GBK" w:hAnsi="仿宋_GB2312" w:eastAsia="方正仿宋_GBK" w:cs="仿宋_GB2312"/>
          <w:sz w:val="32"/>
        </w:rPr>
      </w:pPr>
      <w:r>
        <w:rPr>
          <w:rFonts w:hint="eastAsia" w:ascii="方正仿宋_GBK" w:hAnsi="仿宋_GB2312" w:eastAsia="方正仿宋_GBK" w:cs="仿宋_GB2312"/>
          <w:sz w:val="32"/>
        </w:rPr>
        <w:t>2.政府采购情况。</w:t>
      </w:r>
      <w:r>
        <w:rPr>
          <w:rFonts w:ascii="Times New Roman" w:hAnsi="Times New Roman" w:eastAsia="方正仿宋_GBK"/>
          <w:sz w:val="32"/>
        </w:rPr>
        <w:t>2021年政府采购预算总额0万元，与2020</w:t>
      </w:r>
      <w:r>
        <w:rPr>
          <w:rFonts w:hint="eastAsia" w:ascii="方正仿宋_GBK" w:hAnsi="仿宋_GB2312" w:eastAsia="方正仿宋_GBK" w:cs="仿宋_GB2312"/>
          <w:sz w:val="32"/>
        </w:rPr>
        <w:t>年一致。</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方正仿宋_GBK" w:hAnsi="仿宋_GB2312" w:eastAsia="方正仿宋_GBK" w:cs="仿宋_GB2312"/>
          <w:color w:val="000000"/>
          <w:sz w:val="32"/>
        </w:rPr>
      </w:pPr>
      <w:r>
        <w:rPr>
          <w:rFonts w:hint="eastAsia" w:ascii="方正仿宋_GBK" w:hAnsi="仿宋_GB2312" w:eastAsia="方正仿宋_GBK" w:cs="仿宋_GB2312"/>
          <w:sz w:val="32"/>
        </w:rPr>
        <w:t>3.绩效目标设置情况。</w:t>
      </w:r>
      <w:r>
        <w:rPr>
          <w:rFonts w:ascii="Times New Roman" w:hAnsi="Times New Roman" w:eastAsia="方正仿宋_GBK"/>
          <w:color w:val="000000"/>
          <w:sz w:val="32"/>
        </w:rPr>
        <w:t>2021年无项目支出预算，与2020</w:t>
      </w:r>
      <w:r>
        <w:rPr>
          <w:rFonts w:hint="eastAsia" w:ascii="方正仿宋_GBK" w:hAnsi="仿宋_GB2312" w:eastAsia="方正仿宋_GBK" w:cs="仿宋_GB2312"/>
          <w:color w:val="000000"/>
          <w:sz w:val="32"/>
        </w:rPr>
        <w:t>年一致。</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方正仿宋_GBK" w:hAnsi="仿宋_GB2312" w:eastAsia="方正仿宋_GBK" w:cs="仿宋_GB2312"/>
          <w:color w:val="000000"/>
          <w:sz w:val="32"/>
        </w:rPr>
      </w:pPr>
      <w:r>
        <w:rPr>
          <w:rFonts w:hint="eastAsia" w:ascii="方正仿宋_GBK" w:hAnsi="仿宋_GB2312" w:eastAsia="方正仿宋_GBK" w:cs="仿宋_GB2312"/>
          <w:color w:val="000000"/>
          <w:sz w:val="32"/>
        </w:rPr>
        <w:t>4.国有资产占有使用情况。截止</w:t>
      </w:r>
      <w:r>
        <w:rPr>
          <w:rFonts w:ascii="Times New Roman" w:hAnsi="Times New Roman" w:eastAsia="方正仿宋_GBK"/>
          <w:color w:val="000000"/>
          <w:sz w:val="32"/>
        </w:rPr>
        <w:t>2020年12</w:t>
      </w:r>
      <w:r>
        <w:rPr>
          <w:rFonts w:hint="eastAsia" w:ascii="方正仿宋_GBK" w:hAnsi="仿宋_GB2312" w:eastAsia="方正仿宋_GBK" w:cs="仿宋_GB2312"/>
          <w:color w:val="000000"/>
          <w:sz w:val="32"/>
        </w:rPr>
        <w:t>月，本单位无公务用车辆。</w:t>
      </w:r>
      <w:r>
        <w:rPr>
          <w:rFonts w:ascii="Times New Roman" w:hAnsi="Times New Roman" w:eastAsia="方正仿宋_GBK"/>
          <w:color w:val="000000"/>
          <w:sz w:val="32"/>
        </w:rPr>
        <w:t>2021</w:t>
      </w:r>
      <w:r>
        <w:rPr>
          <w:rFonts w:hint="eastAsia" w:ascii="方正仿宋_GBK" w:hAnsi="仿宋_GB2312" w:eastAsia="方正仿宋_GBK" w:cs="仿宋_GB2312"/>
          <w:color w:val="000000"/>
          <w:sz w:val="32"/>
        </w:rPr>
        <w:t>年一般公共预算未安排购置车辆。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方正黑体_GBK" w:hAnsi="方正黑体_GBK" w:eastAsia="方正黑体_GBK" w:cs="方正黑体_GBK"/>
          <w:sz w:val="32"/>
        </w:rPr>
      </w:pPr>
      <w:r>
        <w:rPr>
          <w:rFonts w:hint="eastAsia" w:ascii="方正黑体_GBK" w:hAnsi="方正黑体_GBK" w:eastAsia="方正黑体_GBK" w:cs="方正黑体_GBK"/>
          <w:sz w:val="32"/>
        </w:rPr>
        <w:t>六、专业性名词解释</w:t>
      </w:r>
    </w:p>
    <w:p>
      <w:pPr>
        <w:pStyle w:val="5"/>
        <w:keepNext w:val="0"/>
        <w:keepLines w:val="0"/>
        <w:pageBreakBefore w:val="0"/>
        <w:widowControl w:val="0"/>
        <w:tabs>
          <w:tab w:val="center" w:pos="4153"/>
          <w:tab w:val="left" w:pos="7275"/>
        </w:tabs>
        <w:kinsoku/>
        <w:wordWrap/>
        <w:overflowPunct/>
        <w:topLinePunct w:val="0"/>
        <w:autoSpaceDE/>
        <w:autoSpaceDN/>
        <w:bidi w:val="0"/>
        <w:adjustRightInd/>
        <w:snapToGrid/>
        <w:spacing w:line="560" w:lineRule="exact"/>
        <w:ind w:right="0" w:rightChars="0" w:firstLine="640"/>
        <w:jc w:val="left"/>
        <w:textAlignment w:val="auto"/>
        <w:outlineLvl w:val="9"/>
        <w:rPr>
          <w:rFonts w:hint="eastAsia" w:ascii="方正仿宋_GBK" w:eastAsia="方正仿宋_GBK"/>
          <w:sz w:val="32"/>
          <w:szCs w:val="32"/>
        </w:rPr>
      </w:pPr>
      <w:r>
        <w:rPr>
          <w:rFonts w:hint="eastAsia" w:ascii="方正楷体_GBK" w:hAnsi="方正楷体_GBK" w:eastAsia="方正楷体_GBK" w:cs="方正楷体_GBK"/>
          <w:sz w:val="32"/>
          <w:szCs w:val="32"/>
        </w:rPr>
        <w:t>（一）财政拨款收入：</w:t>
      </w:r>
      <w:r>
        <w:rPr>
          <w:rFonts w:hint="eastAsia" w:ascii="方正仿宋_GBK" w:eastAsia="方正仿宋_GBK"/>
          <w:sz w:val="32"/>
          <w:szCs w:val="32"/>
        </w:rPr>
        <w:t>指本年度从本级财政部门取得的财政拨款，包括一般公共预算财政拨款和政府性基金预算财政拨款。</w:t>
      </w:r>
    </w:p>
    <w:p>
      <w:pPr>
        <w:pStyle w:val="5"/>
        <w:keepNext w:val="0"/>
        <w:keepLines w:val="0"/>
        <w:pageBreakBefore w:val="0"/>
        <w:widowControl w:val="0"/>
        <w:tabs>
          <w:tab w:val="center" w:pos="4153"/>
          <w:tab w:val="left" w:pos="7275"/>
        </w:tabs>
        <w:kinsoku/>
        <w:wordWrap/>
        <w:overflowPunct/>
        <w:topLinePunct w:val="0"/>
        <w:autoSpaceDE/>
        <w:autoSpaceDN/>
        <w:bidi w:val="0"/>
        <w:adjustRightInd/>
        <w:snapToGrid/>
        <w:spacing w:line="560" w:lineRule="exact"/>
        <w:ind w:right="0" w:rightChars="0" w:firstLine="640"/>
        <w:jc w:val="left"/>
        <w:textAlignment w:val="auto"/>
        <w:outlineLvl w:val="9"/>
        <w:rPr>
          <w:rFonts w:hint="eastAsia" w:ascii="方正仿宋_GBK" w:eastAsia="方正仿宋_GBK"/>
          <w:sz w:val="32"/>
          <w:szCs w:val="32"/>
        </w:rPr>
      </w:pPr>
      <w:r>
        <w:rPr>
          <w:rFonts w:hint="eastAsia" w:ascii="方正楷体_GBK" w:hAnsi="方正楷体_GBK" w:eastAsia="方正楷体_GBK" w:cs="方正楷体_GBK"/>
          <w:sz w:val="32"/>
          <w:szCs w:val="32"/>
        </w:rPr>
        <w:t>（二）其他收入：</w:t>
      </w:r>
      <w:r>
        <w:rPr>
          <w:rFonts w:hint="eastAsia" w:ascii="方正仿宋_GBK" w:eastAsia="方正仿宋_GBK"/>
          <w:sz w:val="32"/>
          <w:szCs w:val="32"/>
        </w:rPr>
        <w:t>指单位取得的除“财政拨款收入”、“事业收入”、“经营收入”等以外的收入。</w:t>
      </w:r>
    </w:p>
    <w:p>
      <w:pPr>
        <w:pStyle w:val="5"/>
        <w:keepNext w:val="0"/>
        <w:keepLines w:val="0"/>
        <w:pageBreakBefore w:val="0"/>
        <w:widowControl w:val="0"/>
        <w:tabs>
          <w:tab w:val="center" w:pos="4153"/>
          <w:tab w:val="left" w:pos="7275"/>
        </w:tabs>
        <w:kinsoku/>
        <w:wordWrap/>
        <w:overflowPunct/>
        <w:topLinePunct w:val="0"/>
        <w:autoSpaceDE/>
        <w:autoSpaceDN/>
        <w:bidi w:val="0"/>
        <w:adjustRightInd/>
        <w:snapToGrid/>
        <w:spacing w:line="560" w:lineRule="exact"/>
        <w:ind w:right="0" w:rightChars="0" w:firstLine="640"/>
        <w:jc w:val="left"/>
        <w:textAlignment w:val="auto"/>
        <w:outlineLvl w:val="9"/>
        <w:rPr>
          <w:rFonts w:hint="eastAsia" w:ascii="方正仿宋_GBK" w:eastAsia="方正仿宋_GBK"/>
          <w:sz w:val="32"/>
          <w:szCs w:val="32"/>
        </w:rPr>
      </w:pPr>
      <w:r>
        <w:rPr>
          <w:rFonts w:hint="eastAsia" w:ascii="方正楷体_GBK" w:hAnsi="方正楷体_GBK" w:eastAsia="方正楷体_GBK" w:cs="方正楷体_GBK"/>
          <w:sz w:val="32"/>
          <w:szCs w:val="32"/>
        </w:rPr>
        <w:t>（三）基本支出：</w:t>
      </w:r>
      <w:r>
        <w:rPr>
          <w:rFonts w:hint="eastAsia" w:ascii="方正仿宋_GBK" w:eastAsia="方正仿宋_GBK"/>
          <w:sz w:val="32"/>
          <w:szCs w:val="32"/>
        </w:rPr>
        <w:t>指为保障机构正常运转、完成日常工作任务而发生的人员经费和公用经费。</w:t>
      </w:r>
    </w:p>
    <w:p>
      <w:pPr>
        <w:pStyle w:val="5"/>
        <w:keepNext w:val="0"/>
        <w:keepLines w:val="0"/>
        <w:pageBreakBefore w:val="0"/>
        <w:widowControl w:val="0"/>
        <w:tabs>
          <w:tab w:val="center" w:pos="4153"/>
          <w:tab w:val="left" w:pos="7275"/>
        </w:tabs>
        <w:kinsoku/>
        <w:wordWrap/>
        <w:overflowPunct/>
        <w:topLinePunct w:val="0"/>
        <w:autoSpaceDE/>
        <w:autoSpaceDN/>
        <w:bidi w:val="0"/>
        <w:adjustRightInd/>
        <w:snapToGrid/>
        <w:spacing w:line="560" w:lineRule="exact"/>
        <w:ind w:right="0" w:rightChars="0" w:firstLine="640"/>
        <w:jc w:val="left"/>
        <w:textAlignment w:val="auto"/>
        <w:outlineLvl w:val="9"/>
        <w:rPr>
          <w:rFonts w:hint="eastAsia" w:ascii="方正仿宋_GBK" w:eastAsia="方正仿宋_GBK"/>
          <w:sz w:val="32"/>
          <w:szCs w:val="32"/>
        </w:rPr>
      </w:pPr>
      <w:r>
        <w:rPr>
          <w:rFonts w:hint="eastAsia" w:ascii="方正楷体_GBK" w:hAnsi="方正楷体_GBK" w:eastAsia="方正楷体_GBK" w:cs="方正楷体_GBK"/>
          <w:sz w:val="32"/>
          <w:szCs w:val="32"/>
        </w:rPr>
        <w:t>（四）项目支出：</w:t>
      </w:r>
      <w:r>
        <w:rPr>
          <w:rFonts w:hint="eastAsia" w:ascii="方正仿宋_GBK" w:eastAsia="方正仿宋_GBK"/>
          <w:sz w:val="32"/>
          <w:szCs w:val="32"/>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方正仿宋_GBK" w:hAnsi="仿宋_GB2312" w:eastAsia="方正仿宋_GBK" w:cs="仿宋_GB2312"/>
          <w:color w:val="000000"/>
          <w:sz w:val="32"/>
        </w:rPr>
      </w:pPr>
      <w:r>
        <w:rPr>
          <w:rFonts w:hint="eastAsia" w:ascii="方正楷体_GBK" w:hAnsi="方正楷体_GBK" w:eastAsia="方正楷体_GBK" w:cs="方正楷体_GBK"/>
          <w:kern w:val="2"/>
          <w:sz w:val="32"/>
          <w:szCs w:val="32"/>
          <w:lang w:val="en-US" w:eastAsia="zh-CN" w:bidi="ar-SA"/>
        </w:rPr>
        <w:t>（五）“三公”经费：</w:t>
      </w:r>
      <w:r>
        <w:rPr>
          <w:rFonts w:hint="eastAsia" w:ascii="方正仿宋_GBK"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1" w:firstLineChars="200"/>
        <w:textAlignment w:val="auto"/>
        <w:outlineLvl w:val="9"/>
        <w:rPr>
          <w:rFonts w:hint="eastAsia" w:ascii="方正仿宋_GBK" w:hAnsi="仿宋_GB2312" w:eastAsia="方正仿宋_GBK" w:cs="仿宋_GB2312"/>
          <w:b w:val="0"/>
          <w:bCs/>
          <w:sz w:val="32"/>
        </w:rPr>
      </w:pPr>
      <w:r>
        <w:rPr>
          <w:rFonts w:hint="eastAsia" w:ascii="方正仿宋_GBK" w:hAnsi="仿宋_GB2312" w:eastAsia="方正仿宋_GBK" w:cs="仿宋_GB2312"/>
          <w:b w:val="0"/>
          <w:bCs/>
          <w:sz w:val="32"/>
        </w:rPr>
        <w:t xml:space="preserve">单位预算公开联系人：王芳  联系方式：023-41428031 </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rPr>
      </w:pPr>
      <w:bookmarkStart w:id="0" w:name="_GoBack"/>
      <w:bookmarkEnd w:id="0"/>
    </w:p>
    <w:sectPr>
      <w:pgSz w:w="11906" w:h="16838"/>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C03E2"/>
    <w:rsid w:val="001B534B"/>
    <w:rsid w:val="001C03E2"/>
    <w:rsid w:val="001F4F73"/>
    <w:rsid w:val="005428F7"/>
    <w:rsid w:val="007602FE"/>
    <w:rsid w:val="007D19BD"/>
    <w:rsid w:val="00A41345"/>
    <w:rsid w:val="00A626EA"/>
    <w:rsid w:val="00BF70D4"/>
    <w:rsid w:val="00C2148F"/>
    <w:rsid w:val="00C53C2B"/>
    <w:rsid w:val="00CC5E0A"/>
    <w:rsid w:val="00D25838"/>
    <w:rsid w:val="00D9453D"/>
    <w:rsid w:val="00E31178"/>
    <w:rsid w:val="39090804"/>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6"/>
    <w:qFormat/>
    <w:uiPriority w:val="0"/>
    <w:rPr>
      <w:rFonts w:ascii="宋体" w:hAnsi="Courier New" w:cs="Courier New"/>
      <w:szCs w:val="21"/>
    </w:rPr>
  </w:style>
  <w:style w:type="paragraph" w:customStyle="1" w:styleId="5">
    <w:name w:val="List Paragraph"/>
    <w:basedOn w:val="1"/>
    <w:qFormat/>
    <w:uiPriority w:val="34"/>
    <w:pPr>
      <w:ind w:firstLine="420" w:firstLineChars="200"/>
    </w:pPr>
  </w:style>
  <w:style w:type="character" w:customStyle="1" w:styleId="6">
    <w:name w:val="纯文本 Char"/>
    <w:basedOn w:val="3"/>
    <w:link w:val="2"/>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4</Pages>
  <Words>277</Words>
  <Characters>1585</Characters>
  <Lines>13</Lines>
  <Paragraphs>3</Paragraphs>
  <TotalTime>0</TotalTime>
  <ScaleCrop>false</ScaleCrop>
  <LinksUpToDate>false</LinksUpToDate>
  <CharactersWithSpaces>1859</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2021-02-23T12:20:00Z</dcterms:created>
  <dc:creator>王芳</dc:creator>
  <cp:lastModifiedBy>张叶</cp:lastModifiedBy>
  <dcterms:modified xsi:type="dcterms:W3CDTF">2021-02-25T06:39:33Z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