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方正小标宋简体" w:hAnsi="仿宋" w:eastAsia="方正小标宋简体" w:cs="方正仿宋简体"/>
          <w:sz w:val="32"/>
          <w:szCs w:val="32"/>
        </w:rPr>
      </w:pPr>
      <w:r>
        <w:rPr>
          <w:rFonts w:hint="eastAsia" w:ascii="方正小标宋简体" w:hAnsi="仿宋" w:eastAsia="方正小标宋简体" w:cs="方正仿宋简体"/>
          <w:sz w:val="32"/>
          <w:szCs w:val="32"/>
        </w:rPr>
        <w:t>重庆市</w:t>
      </w:r>
      <w:r>
        <w:rPr>
          <w:rFonts w:hint="eastAsia" w:ascii="方正小标宋简体" w:hAnsi="仿宋" w:eastAsia="方正小标宋简体" w:cs="方正仿宋简体"/>
          <w:sz w:val="32"/>
          <w:szCs w:val="32"/>
          <w:lang w:eastAsia="zh-CN"/>
        </w:rPr>
        <w:t>仿真饰品</w:t>
      </w:r>
      <w:r>
        <w:rPr>
          <w:rFonts w:hint="eastAsia" w:ascii="方正小标宋简体" w:hAnsi="仿宋" w:eastAsia="方正小标宋简体" w:cs="方正仿宋简体"/>
          <w:sz w:val="32"/>
          <w:szCs w:val="32"/>
        </w:rPr>
        <w:t>产品质量监督抽查实施细则（202</w:t>
      </w:r>
      <w:r>
        <w:rPr>
          <w:rFonts w:hint="eastAsia" w:ascii="方正小标宋简体" w:hAnsi="仿宋" w:eastAsia="方正小标宋简体" w:cs="方正仿宋简体"/>
          <w:sz w:val="32"/>
          <w:szCs w:val="32"/>
          <w:lang w:val="en-US" w:eastAsia="zh-CN"/>
        </w:rPr>
        <w:t>2</w:t>
      </w:r>
      <w:r>
        <w:rPr>
          <w:rFonts w:hint="eastAsia" w:ascii="方正小标宋简体" w:hAnsi="仿宋" w:eastAsia="方正小标宋简体" w:cs="方正仿宋简体"/>
          <w:sz w:val="32"/>
          <w:szCs w:val="32"/>
        </w:rPr>
        <w:t>年）</w:t>
      </w:r>
    </w:p>
    <w:p>
      <w:pPr>
        <w:snapToGrid w:val="0"/>
        <w:spacing w:line="440" w:lineRule="exact"/>
        <w:ind w:firstLine="359" w:firstLineChars="171"/>
        <w:rPr>
          <w:rFonts w:ascii="宋体" w:hAnsi="宋体"/>
          <w:szCs w:val="21"/>
        </w:rPr>
      </w:pPr>
    </w:p>
    <w:p>
      <w:pPr>
        <w:snapToGrid w:val="0"/>
        <w:spacing w:line="440" w:lineRule="exact"/>
        <w:ind w:firstLine="0" w:firstLineChars="0"/>
        <w:rPr>
          <w:rFonts w:hint="eastAsia" w:ascii="宋体" w:hAnsi="宋体"/>
          <w:szCs w:val="21"/>
        </w:rPr>
      </w:pPr>
      <w:r>
        <w:rPr>
          <w:rFonts w:hint="eastAsia" w:ascii="黑体" w:hAnsi="宋体" w:eastAsia="黑体"/>
          <w:szCs w:val="21"/>
        </w:rPr>
        <w:t>1 抽样方法</w:t>
      </w:r>
    </w:p>
    <w:p>
      <w:pPr>
        <w:snapToGrid w:val="0"/>
        <w:spacing w:line="440" w:lineRule="exact"/>
        <w:ind w:firstLine="417" w:firstLineChars="199"/>
        <w:rPr>
          <w:rFonts w:hint="eastAsia" w:ascii="宋体" w:hAnsi="宋体" w:eastAsia="宋体" w:cs="Times New Roman"/>
          <w:szCs w:val="21"/>
        </w:rPr>
      </w:pPr>
      <w:r>
        <w:rPr>
          <w:rFonts w:hint="eastAsia" w:ascii="宋体" w:hAnsi="宋体" w:eastAsia="宋体" w:cs="Times New Roman"/>
          <w:szCs w:val="21"/>
        </w:rPr>
        <w:t>在生产者、销售者</w:t>
      </w:r>
      <w:r>
        <w:rPr>
          <w:rFonts w:hint="eastAsia" w:ascii="宋体" w:hAnsi="宋体" w:eastAsia="宋体" w:cs="Times New Roman"/>
          <w:color w:val="000000"/>
          <w:szCs w:val="21"/>
        </w:rPr>
        <w:t>的待销产品中随机抽取有产品质量检验合格证明或者以其他形式表明合格的产品</w:t>
      </w:r>
      <w:r>
        <w:rPr>
          <w:rFonts w:hint="eastAsia" w:ascii="宋体" w:hAnsi="宋体" w:eastAsia="宋体" w:cs="Times New Roman"/>
          <w:szCs w:val="21"/>
        </w:rPr>
        <w:t>。</w:t>
      </w:r>
    </w:p>
    <w:p>
      <w:pPr>
        <w:snapToGrid w:val="0"/>
        <w:spacing w:line="440" w:lineRule="exact"/>
        <w:ind w:firstLine="417" w:firstLineChars="199"/>
        <w:rPr>
          <w:rFonts w:hint="eastAsia" w:ascii="宋体" w:hAnsi="宋体" w:eastAsia="宋体" w:cs="Times New Roman"/>
          <w:color w:val="000000"/>
          <w:szCs w:val="21"/>
        </w:rPr>
      </w:pPr>
      <w:r>
        <w:rPr>
          <w:rFonts w:hint="eastAsia" w:ascii="宋体" w:hAnsi="宋体" w:eastAsia="宋体" w:cs="Times New Roman"/>
          <w:color w:val="000000"/>
          <w:szCs w:val="21"/>
        </w:rPr>
        <w:t>抽查样品基数满足抽样数量即可。</w:t>
      </w:r>
    </w:p>
    <w:p>
      <w:pPr>
        <w:snapToGrid w:val="0"/>
        <w:spacing w:line="440" w:lineRule="exact"/>
        <w:ind w:firstLine="417" w:firstLineChars="199"/>
        <w:rPr>
          <w:rFonts w:hint="eastAsia" w:ascii="宋体" w:hAnsi="宋体" w:eastAsia="宋体" w:cs="Times New Roman"/>
          <w:szCs w:val="21"/>
          <w:lang w:eastAsia="zh-CN"/>
        </w:rPr>
      </w:pPr>
      <w:r>
        <w:rPr>
          <w:rFonts w:hint="eastAsia" w:ascii="宋体" w:hAnsi="宋体" w:eastAsia="宋体" w:cs="Times New Roman"/>
          <w:color w:val="333333"/>
          <w:kern w:val="2"/>
          <w:sz w:val="21"/>
          <w:szCs w:val="21"/>
          <w:highlight w:val="none"/>
        </w:rPr>
        <w:t>同一生产者按照同一标准生产的同一商标、同一规格型号的</w:t>
      </w:r>
      <w:r>
        <w:rPr>
          <w:rFonts w:hint="eastAsia" w:ascii="宋体" w:hAnsi="宋体" w:eastAsia="宋体" w:cs="Times New Roman"/>
          <w:szCs w:val="21"/>
          <w:highlight w:val="none"/>
        </w:rPr>
        <w:t>产品抽取样</w:t>
      </w:r>
      <w:r>
        <w:rPr>
          <w:rFonts w:hint="eastAsia" w:ascii="宋体" w:hAnsi="宋体" w:eastAsia="宋体" w:cs="Times New Roman"/>
          <w:szCs w:val="21"/>
        </w:rPr>
        <w:t>品4件，其中2件作为检验样品，另2件作为备用样品</w:t>
      </w:r>
      <w:r>
        <w:rPr>
          <w:rFonts w:hint="eastAsia" w:ascii="宋体" w:hAnsi="宋体" w:eastAsia="宋体" w:cs="Times New Roman"/>
          <w:szCs w:val="21"/>
          <w:lang w:eastAsia="zh-CN"/>
        </w:rPr>
        <w:t>。</w:t>
      </w:r>
    </w:p>
    <w:p>
      <w:pPr>
        <w:snapToGrid w:val="0"/>
        <w:spacing w:line="440" w:lineRule="exact"/>
        <w:ind w:firstLine="417" w:firstLineChars="199"/>
        <w:rPr>
          <w:rFonts w:hint="eastAsia" w:ascii="宋体" w:hAnsi="宋体" w:eastAsia="宋体" w:cs="Times New Roman"/>
          <w:szCs w:val="21"/>
        </w:rPr>
      </w:pPr>
      <w:r>
        <w:rPr>
          <w:rFonts w:hint="eastAsia" w:ascii="宋体" w:hAnsi="宋体" w:eastAsia="宋体" w:cs="Times New Roman"/>
          <w:szCs w:val="21"/>
        </w:rPr>
        <w:t>若抽查样品（包括备用样品在内）的金属部件总重量不足8g时，需多抽取样品至金属部件总质量达到8g（检验样品与备用样品各占一半）。</w:t>
      </w:r>
    </w:p>
    <w:p>
      <w:pPr>
        <w:snapToGrid w:val="0"/>
        <w:spacing w:line="440" w:lineRule="exact"/>
        <w:ind w:firstLine="417" w:firstLineChars="199"/>
        <w:rPr>
          <w:rFonts w:hint="eastAsia" w:ascii="宋体" w:hAnsi="宋体"/>
          <w:szCs w:val="21"/>
          <w:highlight w:val="none"/>
        </w:rPr>
      </w:pPr>
      <w:r>
        <w:rPr>
          <w:rFonts w:hint="eastAsia" w:ascii="宋体" w:hAnsi="宋体" w:eastAsia="宋体" w:cs="Times New Roman"/>
          <w:szCs w:val="21"/>
          <w:highlight w:val="none"/>
          <w:lang w:val="en-US" w:eastAsia="zh-CN"/>
        </w:rPr>
        <w:t>随机数抽样，</w:t>
      </w:r>
      <w:r>
        <w:rPr>
          <w:rFonts w:hint="eastAsia" w:ascii="宋体" w:hAnsi="宋体" w:eastAsia="宋体" w:cs="Times New Roman"/>
          <w:szCs w:val="21"/>
          <w:highlight w:val="none"/>
        </w:rPr>
        <w:t>随机数一般可使用随机数表、随机数骰子或扑克牌等方法产生。</w:t>
      </w:r>
    </w:p>
    <w:p>
      <w:pPr>
        <w:snapToGrid w:val="0"/>
        <w:spacing w:line="440" w:lineRule="exact"/>
        <w:rPr>
          <w:rFonts w:hint="eastAsia" w:ascii="宋体" w:hAnsi="宋体"/>
          <w:szCs w:val="21"/>
        </w:rPr>
      </w:pPr>
    </w:p>
    <w:p>
      <w:pPr>
        <w:snapToGrid w:val="0"/>
        <w:spacing w:line="440" w:lineRule="exact"/>
        <w:rPr>
          <w:rFonts w:ascii="黑体" w:hAnsi="宋体" w:eastAsia="黑体"/>
          <w:szCs w:val="21"/>
        </w:rPr>
      </w:pPr>
      <w:r>
        <w:rPr>
          <w:rFonts w:hint="eastAsia" w:ascii="黑体" w:hAnsi="宋体" w:eastAsia="黑体"/>
          <w:szCs w:val="21"/>
        </w:rPr>
        <w:t>2 检验依据</w:t>
      </w:r>
    </w:p>
    <w:p>
      <w:pPr>
        <w:jc w:val="center"/>
        <w:rPr>
          <w:rFonts w:ascii="宋体"/>
          <w:szCs w:val="21"/>
        </w:rPr>
      </w:pPr>
      <w:r>
        <w:rPr>
          <w:rFonts w:hint="eastAsia" w:ascii="宋体" w:hAnsi="宋体"/>
          <w:szCs w:val="21"/>
        </w:rPr>
        <w:t>表</w:t>
      </w:r>
      <w:r>
        <w:rPr>
          <w:rFonts w:ascii="宋体" w:hAnsi="宋体"/>
          <w:szCs w:val="21"/>
        </w:rPr>
        <w:t xml:space="preserve">1  </w:t>
      </w:r>
      <w:r>
        <w:rPr>
          <w:rFonts w:hint="eastAsia" w:ascii="宋体" w:hAnsi="宋体"/>
          <w:szCs w:val="21"/>
        </w:rPr>
        <w:t>检验项目</w:t>
      </w:r>
    </w:p>
    <w:tbl>
      <w:tblPr>
        <w:tblStyle w:val="4"/>
        <w:tblW w:w="8685" w:type="dxa"/>
        <w:tblInd w:w="23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2115"/>
        <w:gridCol w:w="2820"/>
        <w:gridCol w:w="29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trPr>
        <w:tc>
          <w:tcPr>
            <w:tcW w:w="840" w:type="dxa"/>
            <w:vMerge w:val="restart"/>
            <w:noWrap/>
            <w:vAlign w:val="center"/>
          </w:tcPr>
          <w:p>
            <w:pPr>
              <w:snapToGrid w:val="0"/>
              <w:jc w:val="center"/>
              <w:rPr>
                <w:rFonts w:ascii="宋体"/>
                <w:color w:val="000000"/>
                <w:szCs w:val="21"/>
              </w:rPr>
            </w:pPr>
            <w:r>
              <w:rPr>
                <w:rFonts w:hint="eastAsia" w:ascii="宋体" w:hAnsi="宋体"/>
                <w:color w:val="000000"/>
                <w:szCs w:val="21"/>
              </w:rPr>
              <w:t>序号</w:t>
            </w:r>
          </w:p>
        </w:tc>
        <w:tc>
          <w:tcPr>
            <w:tcW w:w="2115" w:type="dxa"/>
            <w:vMerge w:val="restart"/>
            <w:noWrap/>
            <w:vAlign w:val="center"/>
          </w:tcPr>
          <w:p>
            <w:pPr>
              <w:snapToGrid w:val="0"/>
              <w:jc w:val="center"/>
              <w:rPr>
                <w:rFonts w:ascii="宋体"/>
                <w:color w:val="000000"/>
                <w:szCs w:val="21"/>
              </w:rPr>
            </w:pPr>
            <w:r>
              <w:rPr>
                <w:rFonts w:hint="eastAsia" w:ascii="宋体" w:hAnsi="宋体"/>
                <w:color w:val="000000"/>
                <w:szCs w:val="21"/>
              </w:rPr>
              <w:t>检验项目</w:t>
            </w:r>
          </w:p>
        </w:tc>
        <w:tc>
          <w:tcPr>
            <w:tcW w:w="2820" w:type="dxa"/>
            <w:vMerge w:val="restart"/>
            <w:noWrap/>
            <w:vAlign w:val="center"/>
          </w:tcPr>
          <w:p>
            <w:pPr>
              <w:snapToGrid w:val="0"/>
              <w:jc w:val="center"/>
              <w:rPr>
                <w:rFonts w:ascii="宋体"/>
                <w:color w:val="000000"/>
                <w:szCs w:val="21"/>
              </w:rPr>
            </w:pPr>
            <w:r>
              <w:rPr>
                <w:rFonts w:hint="eastAsia" w:ascii="宋体" w:hAnsi="宋体"/>
                <w:szCs w:val="21"/>
              </w:rPr>
              <w:t>判定依据</w:t>
            </w:r>
          </w:p>
        </w:tc>
        <w:tc>
          <w:tcPr>
            <w:tcW w:w="2910" w:type="dxa"/>
            <w:vMerge w:val="restart"/>
            <w:noWrap/>
            <w:vAlign w:val="center"/>
          </w:tcPr>
          <w:p>
            <w:pPr>
              <w:snapToGrid w:val="0"/>
              <w:jc w:val="center"/>
              <w:rPr>
                <w:rFonts w:ascii="宋体"/>
                <w:color w:val="000000"/>
                <w:szCs w:val="21"/>
              </w:rPr>
            </w:pPr>
            <w:r>
              <w:rPr>
                <w:rFonts w:hint="eastAsia" w:ascii="宋体" w:hAnsi="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40" w:type="dxa"/>
            <w:vMerge w:val="continue"/>
            <w:noWrap/>
            <w:vAlign w:val="top"/>
          </w:tcPr>
          <w:p>
            <w:pPr>
              <w:snapToGrid w:val="0"/>
              <w:spacing w:line="400" w:lineRule="exact"/>
              <w:jc w:val="center"/>
              <w:rPr>
                <w:rFonts w:ascii="宋体"/>
                <w:color w:val="000000"/>
                <w:szCs w:val="21"/>
              </w:rPr>
            </w:pPr>
          </w:p>
        </w:tc>
        <w:tc>
          <w:tcPr>
            <w:tcW w:w="2115" w:type="dxa"/>
            <w:vMerge w:val="continue"/>
            <w:noWrap/>
            <w:vAlign w:val="top"/>
          </w:tcPr>
          <w:p>
            <w:pPr>
              <w:snapToGrid w:val="0"/>
              <w:spacing w:line="400" w:lineRule="exact"/>
              <w:jc w:val="center"/>
              <w:rPr>
                <w:rFonts w:ascii="宋体"/>
                <w:color w:val="000000"/>
                <w:szCs w:val="21"/>
              </w:rPr>
            </w:pPr>
          </w:p>
        </w:tc>
        <w:tc>
          <w:tcPr>
            <w:tcW w:w="2820" w:type="dxa"/>
            <w:vMerge w:val="continue"/>
            <w:noWrap/>
            <w:vAlign w:val="top"/>
          </w:tcPr>
          <w:p>
            <w:pPr>
              <w:snapToGrid w:val="0"/>
              <w:spacing w:line="400" w:lineRule="exact"/>
              <w:jc w:val="center"/>
              <w:rPr>
                <w:rFonts w:ascii="宋体"/>
                <w:color w:val="000000"/>
                <w:szCs w:val="21"/>
              </w:rPr>
            </w:pPr>
          </w:p>
        </w:tc>
        <w:tc>
          <w:tcPr>
            <w:tcW w:w="2910" w:type="dxa"/>
            <w:vMerge w:val="continue"/>
            <w:noWrap/>
            <w:vAlign w:val="top"/>
          </w:tcPr>
          <w:p>
            <w:pPr>
              <w:snapToGrid w:val="0"/>
              <w:spacing w:line="400" w:lineRule="exact"/>
              <w:jc w:val="center"/>
              <w:rPr>
                <w:rFonts w:asci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840" w:type="dxa"/>
            <w:noWrap/>
            <w:vAlign w:val="center"/>
          </w:tcPr>
          <w:p>
            <w:pPr>
              <w:snapToGrid w:val="0"/>
              <w:spacing w:line="400" w:lineRule="exact"/>
              <w:jc w:val="center"/>
              <w:rPr>
                <w:rFonts w:ascii="宋体"/>
                <w:color w:val="000000"/>
                <w:szCs w:val="21"/>
              </w:rPr>
            </w:pPr>
            <w:r>
              <w:rPr>
                <w:rFonts w:ascii="宋体" w:hAnsi="宋体"/>
                <w:color w:val="000000"/>
                <w:szCs w:val="21"/>
              </w:rPr>
              <w:t>1</w:t>
            </w:r>
          </w:p>
        </w:tc>
        <w:tc>
          <w:tcPr>
            <w:tcW w:w="2115" w:type="dxa"/>
            <w:noWrap/>
            <w:vAlign w:val="center"/>
          </w:tcPr>
          <w:p>
            <w:pPr>
              <w:snapToGrid w:val="0"/>
              <w:spacing w:line="400" w:lineRule="exact"/>
              <w:jc w:val="center"/>
              <w:rPr>
                <w:rFonts w:ascii="宋体"/>
                <w:color w:val="000000"/>
                <w:szCs w:val="21"/>
              </w:rPr>
            </w:pPr>
            <w:r>
              <w:rPr>
                <w:rFonts w:hint="eastAsia" w:ascii="宋体" w:hAnsi="宋体"/>
                <w:color w:val="000000"/>
                <w:szCs w:val="21"/>
              </w:rPr>
              <w:t>镍释放量</w:t>
            </w:r>
          </w:p>
        </w:tc>
        <w:tc>
          <w:tcPr>
            <w:tcW w:w="2820" w:type="dxa"/>
            <w:noWrap/>
            <w:vAlign w:val="center"/>
          </w:tcPr>
          <w:p>
            <w:pPr>
              <w:snapToGrid w:val="0"/>
              <w:spacing w:line="400" w:lineRule="exact"/>
              <w:jc w:val="center"/>
              <w:rPr>
                <w:rFonts w:ascii="宋体"/>
                <w:color w:val="000000"/>
                <w:szCs w:val="21"/>
              </w:rPr>
            </w:pPr>
            <w:r>
              <w:rPr>
                <w:rFonts w:ascii="宋体" w:hAnsi="宋体"/>
                <w:color w:val="000000"/>
                <w:szCs w:val="21"/>
              </w:rPr>
              <w:t>GB 28480-2012</w:t>
            </w:r>
          </w:p>
        </w:tc>
        <w:tc>
          <w:tcPr>
            <w:tcW w:w="2910" w:type="dxa"/>
            <w:noWrap/>
            <w:vAlign w:val="center"/>
          </w:tcPr>
          <w:p>
            <w:pPr>
              <w:snapToGrid w:val="0"/>
              <w:spacing w:line="400" w:lineRule="exact"/>
              <w:jc w:val="center"/>
              <w:rPr>
                <w:rFonts w:hint="eastAsia" w:ascii="宋体"/>
                <w:color w:val="000000"/>
                <w:szCs w:val="21"/>
              </w:rPr>
            </w:pPr>
            <w:r>
              <w:rPr>
                <w:rFonts w:ascii="宋体" w:hAnsi="宋体"/>
                <w:color w:val="000000"/>
                <w:szCs w:val="21"/>
              </w:rPr>
              <w:t>GB/T 19719-2005</w:t>
            </w:r>
            <w:r>
              <w:rPr>
                <w:rFonts w:hint="eastAsia" w:ascii="宋体" w:hAnsi="宋体"/>
                <w:color w:val="000000"/>
                <w:szCs w:val="21"/>
              </w:rPr>
              <w:t>、</w:t>
            </w:r>
            <w:r>
              <w:rPr>
                <w:rFonts w:ascii="宋体" w:hAnsi="宋体"/>
                <w:color w:val="000000"/>
                <w:szCs w:val="21"/>
              </w:rPr>
              <w:t>GB/T 28485-2012</w:t>
            </w:r>
            <w:r>
              <w:rPr>
                <w:rFonts w:hint="eastAsia" w:ascii="宋体" w:hAnsi="宋体"/>
                <w:color w:val="000000"/>
                <w:szCs w:val="21"/>
              </w:rPr>
              <w:t>同时使用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840" w:type="dxa"/>
            <w:noWrap/>
            <w:vAlign w:val="center"/>
          </w:tcPr>
          <w:p>
            <w:pPr>
              <w:snapToGrid w:val="0"/>
              <w:spacing w:line="400" w:lineRule="exact"/>
              <w:jc w:val="center"/>
              <w:rPr>
                <w:rFonts w:ascii="宋体"/>
                <w:color w:val="000000"/>
                <w:szCs w:val="21"/>
              </w:rPr>
            </w:pPr>
            <w:r>
              <w:rPr>
                <w:rFonts w:ascii="宋体" w:hAnsi="宋体"/>
                <w:color w:val="000000"/>
                <w:szCs w:val="21"/>
              </w:rPr>
              <w:t>2</w:t>
            </w:r>
          </w:p>
        </w:tc>
        <w:tc>
          <w:tcPr>
            <w:tcW w:w="2115" w:type="dxa"/>
            <w:noWrap/>
            <w:vAlign w:val="center"/>
          </w:tcPr>
          <w:p>
            <w:pPr>
              <w:snapToGrid w:val="0"/>
              <w:spacing w:line="400" w:lineRule="exact"/>
              <w:jc w:val="center"/>
              <w:rPr>
                <w:rFonts w:ascii="宋体"/>
                <w:color w:val="000000"/>
                <w:szCs w:val="21"/>
              </w:rPr>
            </w:pPr>
            <w:r>
              <w:rPr>
                <w:rFonts w:hint="eastAsia" w:ascii="宋体" w:hAnsi="宋体"/>
                <w:color w:val="000000"/>
                <w:szCs w:val="21"/>
              </w:rPr>
              <w:t>镉总含量</w:t>
            </w:r>
          </w:p>
        </w:tc>
        <w:tc>
          <w:tcPr>
            <w:tcW w:w="2820" w:type="dxa"/>
            <w:noWrap/>
            <w:vAlign w:val="center"/>
          </w:tcPr>
          <w:p>
            <w:pPr>
              <w:jc w:val="center"/>
            </w:pPr>
            <w:r>
              <w:rPr>
                <w:rFonts w:ascii="宋体" w:hAnsi="宋体"/>
                <w:color w:val="000000"/>
                <w:szCs w:val="21"/>
              </w:rPr>
              <w:t>GB 28480-2012</w:t>
            </w:r>
          </w:p>
        </w:tc>
        <w:tc>
          <w:tcPr>
            <w:tcW w:w="2910" w:type="dxa"/>
            <w:noWrap/>
            <w:vAlign w:val="center"/>
          </w:tcPr>
          <w:p>
            <w:pPr>
              <w:snapToGrid w:val="0"/>
              <w:spacing w:line="400" w:lineRule="exact"/>
              <w:jc w:val="center"/>
              <w:rPr>
                <w:rFonts w:ascii="宋体"/>
                <w:color w:val="000000"/>
                <w:szCs w:val="21"/>
              </w:rPr>
            </w:pPr>
            <w:r>
              <w:rPr>
                <w:rFonts w:ascii="宋体" w:hAnsi="宋体"/>
                <w:color w:val="000000"/>
                <w:szCs w:val="21"/>
              </w:rPr>
              <w:t>GB/T 28021-2011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840" w:type="dxa"/>
            <w:noWrap/>
            <w:vAlign w:val="center"/>
          </w:tcPr>
          <w:p>
            <w:pPr>
              <w:snapToGrid w:val="0"/>
              <w:spacing w:line="400" w:lineRule="exact"/>
              <w:jc w:val="center"/>
              <w:rPr>
                <w:rFonts w:ascii="宋体"/>
                <w:color w:val="000000"/>
                <w:szCs w:val="21"/>
              </w:rPr>
            </w:pPr>
            <w:r>
              <w:rPr>
                <w:rFonts w:ascii="宋体" w:hAnsi="宋体"/>
                <w:color w:val="000000"/>
                <w:szCs w:val="21"/>
              </w:rPr>
              <w:t>3</w:t>
            </w:r>
          </w:p>
        </w:tc>
        <w:tc>
          <w:tcPr>
            <w:tcW w:w="2115" w:type="dxa"/>
            <w:noWrap/>
            <w:vAlign w:val="center"/>
          </w:tcPr>
          <w:p>
            <w:pPr>
              <w:snapToGrid w:val="0"/>
              <w:spacing w:line="400" w:lineRule="exact"/>
              <w:jc w:val="center"/>
              <w:rPr>
                <w:rFonts w:ascii="宋体"/>
                <w:color w:val="000000"/>
                <w:szCs w:val="21"/>
              </w:rPr>
            </w:pPr>
            <w:r>
              <w:rPr>
                <w:rFonts w:hint="eastAsia" w:ascii="宋体" w:hAnsi="宋体"/>
                <w:color w:val="000000"/>
                <w:szCs w:val="21"/>
              </w:rPr>
              <w:t>铅总含量</w:t>
            </w:r>
          </w:p>
        </w:tc>
        <w:tc>
          <w:tcPr>
            <w:tcW w:w="2820" w:type="dxa"/>
            <w:noWrap/>
            <w:vAlign w:val="center"/>
          </w:tcPr>
          <w:p>
            <w:pPr>
              <w:jc w:val="center"/>
            </w:pPr>
            <w:r>
              <w:rPr>
                <w:rFonts w:ascii="宋体" w:hAnsi="宋体"/>
                <w:color w:val="000000"/>
                <w:szCs w:val="21"/>
              </w:rPr>
              <w:t>GB 28480-2012</w:t>
            </w:r>
          </w:p>
        </w:tc>
        <w:tc>
          <w:tcPr>
            <w:tcW w:w="2910" w:type="dxa"/>
            <w:noWrap/>
            <w:vAlign w:val="center"/>
          </w:tcPr>
          <w:p>
            <w:pPr>
              <w:snapToGrid w:val="0"/>
              <w:spacing w:line="400" w:lineRule="exact"/>
              <w:jc w:val="center"/>
              <w:rPr>
                <w:rFonts w:ascii="宋体"/>
                <w:color w:val="000000"/>
                <w:szCs w:val="21"/>
              </w:rPr>
            </w:pPr>
            <w:r>
              <w:rPr>
                <w:rFonts w:ascii="宋体" w:hAnsi="宋体"/>
                <w:color w:val="000000"/>
                <w:szCs w:val="21"/>
              </w:rPr>
              <w:t>GB/T 28021-2011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trPr>
        <w:tc>
          <w:tcPr>
            <w:tcW w:w="840" w:type="dxa"/>
            <w:noWrap/>
            <w:vAlign w:val="center"/>
          </w:tcPr>
          <w:p>
            <w:pPr>
              <w:snapToGrid w:val="0"/>
              <w:spacing w:line="400" w:lineRule="exact"/>
              <w:jc w:val="center"/>
              <w:rPr>
                <w:rFonts w:ascii="宋体"/>
                <w:color w:val="000000"/>
                <w:szCs w:val="21"/>
              </w:rPr>
            </w:pPr>
            <w:r>
              <w:rPr>
                <w:rFonts w:ascii="宋体" w:hAnsi="宋体"/>
                <w:color w:val="000000"/>
                <w:szCs w:val="21"/>
              </w:rPr>
              <w:t>4</w:t>
            </w:r>
          </w:p>
        </w:tc>
        <w:tc>
          <w:tcPr>
            <w:tcW w:w="2115" w:type="dxa"/>
            <w:noWrap/>
            <w:vAlign w:val="center"/>
          </w:tcPr>
          <w:p>
            <w:pPr>
              <w:snapToGrid w:val="0"/>
              <w:spacing w:line="400" w:lineRule="exact"/>
              <w:jc w:val="center"/>
              <w:rPr>
                <w:rFonts w:ascii="宋体"/>
                <w:color w:val="000000"/>
                <w:szCs w:val="21"/>
              </w:rPr>
            </w:pPr>
            <w:r>
              <w:rPr>
                <w:rFonts w:hint="eastAsia" w:ascii="宋体" w:hAnsi="宋体"/>
                <w:color w:val="000000"/>
                <w:szCs w:val="21"/>
              </w:rPr>
              <w:t>汞总含量</w:t>
            </w:r>
          </w:p>
        </w:tc>
        <w:tc>
          <w:tcPr>
            <w:tcW w:w="2820" w:type="dxa"/>
            <w:noWrap/>
            <w:vAlign w:val="center"/>
          </w:tcPr>
          <w:p>
            <w:pPr>
              <w:jc w:val="center"/>
            </w:pPr>
            <w:r>
              <w:rPr>
                <w:rFonts w:ascii="宋体" w:hAnsi="宋体"/>
                <w:color w:val="000000"/>
                <w:szCs w:val="21"/>
              </w:rPr>
              <w:t>GB 28480-2012</w:t>
            </w:r>
          </w:p>
        </w:tc>
        <w:tc>
          <w:tcPr>
            <w:tcW w:w="2910" w:type="dxa"/>
            <w:noWrap/>
            <w:vAlign w:val="center"/>
          </w:tcPr>
          <w:p>
            <w:pPr>
              <w:snapToGrid w:val="0"/>
              <w:spacing w:line="400" w:lineRule="exact"/>
              <w:jc w:val="center"/>
              <w:rPr>
                <w:rFonts w:ascii="宋体"/>
                <w:color w:val="000000"/>
                <w:szCs w:val="21"/>
              </w:rPr>
            </w:pPr>
            <w:r>
              <w:rPr>
                <w:rFonts w:ascii="宋体" w:hAnsi="宋体"/>
                <w:color w:val="000000"/>
                <w:szCs w:val="21"/>
              </w:rPr>
              <w:t>GB/T 28021-2011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840" w:type="dxa"/>
            <w:noWrap/>
            <w:vAlign w:val="center"/>
          </w:tcPr>
          <w:p>
            <w:pPr>
              <w:snapToGrid w:val="0"/>
              <w:spacing w:line="400" w:lineRule="exact"/>
              <w:jc w:val="center"/>
              <w:rPr>
                <w:rFonts w:ascii="宋体"/>
                <w:color w:val="000000"/>
                <w:szCs w:val="21"/>
              </w:rPr>
            </w:pPr>
            <w:r>
              <w:rPr>
                <w:rFonts w:ascii="宋体" w:hAnsi="宋体"/>
                <w:color w:val="000000"/>
                <w:szCs w:val="21"/>
              </w:rPr>
              <w:t>5</w:t>
            </w:r>
          </w:p>
        </w:tc>
        <w:tc>
          <w:tcPr>
            <w:tcW w:w="2115" w:type="dxa"/>
            <w:noWrap/>
            <w:vAlign w:val="center"/>
          </w:tcPr>
          <w:p>
            <w:pPr>
              <w:snapToGrid w:val="0"/>
              <w:spacing w:line="400" w:lineRule="exact"/>
              <w:jc w:val="center"/>
              <w:rPr>
                <w:rFonts w:ascii="宋体"/>
                <w:color w:val="000000"/>
                <w:szCs w:val="21"/>
              </w:rPr>
            </w:pPr>
            <w:r>
              <w:rPr>
                <w:rFonts w:hint="eastAsia" w:ascii="宋体" w:hAnsi="宋体"/>
                <w:color w:val="000000"/>
                <w:szCs w:val="21"/>
              </w:rPr>
              <w:t>砷总含量</w:t>
            </w:r>
          </w:p>
        </w:tc>
        <w:tc>
          <w:tcPr>
            <w:tcW w:w="2820" w:type="dxa"/>
            <w:noWrap/>
            <w:vAlign w:val="center"/>
          </w:tcPr>
          <w:p>
            <w:pPr>
              <w:jc w:val="center"/>
            </w:pPr>
            <w:r>
              <w:rPr>
                <w:rFonts w:ascii="宋体" w:hAnsi="宋体"/>
                <w:color w:val="000000"/>
                <w:szCs w:val="21"/>
              </w:rPr>
              <w:t>GB 28480-2012</w:t>
            </w:r>
          </w:p>
        </w:tc>
        <w:tc>
          <w:tcPr>
            <w:tcW w:w="2910" w:type="dxa"/>
            <w:noWrap/>
            <w:vAlign w:val="center"/>
          </w:tcPr>
          <w:p>
            <w:pPr>
              <w:snapToGrid w:val="0"/>
              <w:spacing w:line="400" w:lineRule="exact"/>
              <w:jc w:val="center"/>
              <w:rPr>
                <w:rFonts w:ascii="宋体"/>
                <w:color w:val="000000"/>
                <w:szCs w:val="21"/>
              </w:rPr>
            </w:pPr>
            <w:r>
              <w:rPr>
                <w:rFonts w:ascii="宋体" w:hAnsi="宋体"/>
                <w:color w:val="000000"/>
                <w:szCs w:val="21"/>
              </w:rPr>
              <w:t>GB/T 28021-2011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40" w:type="dxa"/>
            <w:noWrap/>
            <w:vAlign w:val="center"/>
          </w:tcPr>
          <w:p>
            <w:pPr>
              <w:snapToGrid w:val="0"/>
              <w:spacing w:line="400" w:lineRule="exact"/>
              <w:jc w:val="center"/>
              <w:rPr>
                <w:rFonts w:ascii="宋体"/>
                <w:color w:val="000000"/>
                <w:szCs w:val="21"/>
              </w:rPr>
            </w:pPr>
            <w:r>
              <w:rPr>
                <w:rFonts w:ascii="宋体" w:hAnsi="宋体"/>
                <w:color w:val="000000"/>
                <w:szCs w:val="21"/>
              </w:rPr>
              <w:t>6</w:t>
            </w:r>
          </w:p>
        </w:tc>
        <w:tc>
          <w:tcPr>
            <w:tcW w:w="2115" w:type="dxa"/>
            <w:noWrap/>
            <w:vAlign w:val="center"/>
          </w:tcPr>
          <w:p>
            <w:pPr>
              <w:snapToGrid w:val="0"/>
              <w:spacing w:line="400" w:lineRule="exact"/>
              <w:jc w:val="center"/>
              <w:rPr>
                <w:rFonts w:ascii="宋体"/>
                <w:color w:val="000000"/>
                <w:szCs w:val="21"/>
              </w:rPr>
            </w:pPr>
            <w:r>
              <w:rPr>
                <w:rFonts w:hint="eastAsia" w:ascii="宋体" w:hAnsi="宋体"/>
                <w:color w:val="000000"/>
                <w:szCs w:val="21"/>
              </w:rPr>
              <w:t>六价铬总含量</w:t>
            </w:r>
          </w:p>
        </w:tc>
        <w:tc>
          <w:tcPr>
            <w:tcW w:w="2820" w:type="dxa"/>
            <w:noWrap/>
            <w:vAlign w:val="center"/>
          </w:tcPr>
          <w:p>
            <w:pPr>
              <w:jc w:val="center"/>
            </w:pPr>
            <w:r>
              <w:rPr>
                <w:rFonts w:ascii="宋体" w:hAnsi="宋体"/>
                <w:color w:val="000000"/>
                <w:szCs w:val="21"/>
              </w:rPr>
              <w:t>GB 28480-2012</w:t>
            </w:r>
          </w:p>
        </w:tc>
        <w:tc>
          <w:tcPr>
            <w:tcW w:w="2910" w:type="dxa"/>
            <w:noWrap/>
            <w:vAlign w:val="center"/>
          </w:tcPr>
          <w:p>
            <w:pPr>
              <w:snapToGrid w:val="0"/>
              <w:spacing w:line="400" w:lineRule="exact"/>
              <w:jc w:val="center"/>
              <w:rPr>
                <w:rFonts w:ascii="宋体"/>
                <w:color w:val="000000"/>
                <w:szCs w:val="21"/>
              </w:rPr>
            </w:pPr>
            <w:r>
              <w:rPr>
                <w:rFonts w:ascii="宋体" w:hAnsi="宋体"/>
                <w:color w:val="000000"/>
                <w:szCs w:val="21"/>
              </w:rPr>
              <w:t>GB/T 28019-2011</w:t>
            </w:r>
          </w:p>
        </w:tc>
      </w:tr>
    </w:tbl>
    <w:p>
      <w:pPr>
        <w:snapToGrid w:val="0"/>
        <w:spacing w:line="440" w:lineRule="exact"/>
        <w:ind w:firstLine="420" w:firstLineChars="200"/>
        <w:rPr>
          <w:rFonts w:hint="eastAsia" w:ascii="宋体" w:hAnsi="宋体" w:eastAsia="宋体" w:cs="Times New Roman"/>
          <w:szCs w:val="21"/>
        </w:rPr>
      </w:pPr>
      <w:r>
        <w:rPr>
          <w:rFonts w:hint="eastAsia" w:ascii="宋体" w:hAnsi="宋体" w:eastAsia="宋体" w:cs="Times New Roman"/>
          <w:szCs w:val="21"/>
        </w:rPr>
        <w:t>凡是注日期的文件，其随后所有的修改单（不包括勘误的内容）或修订版</w:t>
      </w:r>
      <w:r>
        <w:rPr>
          <w:rFonts w:hint="eastAsia" w:ascii="宋体" w:hAnsi="宋体" w:cs="Times New Roman"/>
          <w:szCs w:val="21"/>
          <w:lang w:eastAsia="zh-CN"/>
        </w:rPr>
        <w:t>不</w:t>
      </w:r>
      <w:r>
        <w:rPr>
          <w:rFonts w:hint="eastAsia" w:ascii="宋体" w:hAnsi="宋体" w:eastAsia="宋体" w:cs="Times New Roman"/>
          <w:szCs w:val="21"/>
        </w:rPr>
        <w:t>适用于本细则。</w:t>
      </w:r>
    </w:p>
    <w:p>
      <w:pPr>
        <w:snapToGrid w:val="0"/>
        <w:spacing w:line="440" w:lineRule="exact"/>
        <w:ind w:firstLine="359" w:firstLineChars="171"/>
        <w:rPr>
          <w:rFonts w:ascii="宋体" w:hAnsi="宋体"/>
          <w:szCs w:val="21"/>
        </w:rPr>
      </w:pPr>
    </w:p>
    <w:p>
      <w:pPr>
        <w:spacing w:line="360" w:lineRule="auto"/>
        <w:rPr>
          <w:rFonts w:hint="eastAsia" w:ascii="黑体" w:hAnsi="黑体" w:eastAsia="黑体"/>
          <w:szCs w:val="21"/>
        </w:rPr>
      </w:pPr>
      <w:r>
        <w:rPr>
          <w:rFonts w:hint="eastAsia" w:ascii="黑体" w:hAnsi="黑体" w:eastAsia="黑体"/>
          <w:szCs w:val="21"/>
        </w:rPr>
        <w:t>3 判定规则</w:t>
      </w:r>
    </w:p>
    <w:p>
      <w:pPr>
        <w:spacing w:line="360" w:lineRule="auto"/>
        <w:rPr>
          <w:rFonts w:ascii="宋体" w:hAnsi="宋体"/>
          <w:szCs w:val="21"/>
        </w:rPr>
      </w:pPr>
      <w:r>
        <w:rPr>
          <w:rFonts w:hint="eastAsia" w:ascii="宋体" w:hAnsi="宋体"/>
          <w:szCs w:val="21"/>
        </w:rPr>
        <w:t>3.1依据标准</w:t>
      </w:r>
    </w:p>
    <w:p>
      <w:pPr>
        <w:snapToGrid w:val="0"/>
        <w:spacing w:line="360" w:lineRule="auto"/>
        <w:ind w:firstLine="420" w:firstLineChars="200"/>
        <w:rPr>
          <w:rFonts w:ascii="宋体" w:hAnsi="宋体"/>
          <w:color w:val="000000"/>
          <w:szCs w:val="21"/>
        </w:rPr>
      </w:pPr>
      <w:r>
        <w:rPr>
          <w:rFonts w:ascii="宋体" w:hAnsi="宋体"/>
          <w:color w:val="000000"/>
          <w:szCs w:val="21"/>
        </w:rPr>
        <w:t xml:space="preserve">GB 28480-2012 </w:t>
      </w:r>
      <w:r>
        <w:rPr>
          <w:rFonts w:hint="eastAsia" w:ascii="宋体" w:hAnsi="宋体"/>
          <w:color w:val="000000"/>
          <w:szCs w:val="21"/>
        </w:rPr>
        <w:t>饰品</w:t>
      </w:r>
      <w:r>
        <w:rPr>
          <w:rFonts w:hint="eastAsia" w:ascii="宋体" w:hAnsi="宋体"/>
          <w:color w:val="000000"/>
          <w:szCs w:val="21"/>
          <w:lang w:val="en-US" w:eastAsia="zh-CN"/>
        </w:rPr>
        <w:t xml:space="preserve"> </w:t>
      </w:r>
      <w:r>
        <w:rPr>
          <w:rFonts w:hint="eastAsia" w:ascii="宋体" w:hAnsi="宋体"/>
          <w:color w:val="000000"/>
          <w:szCs w:val="21"/>
        </w:rPr>
        <w:t>有害元素限量的规定</w:t>
      </w:r>
    </w:p>
    <w:p>
      <w:pPr>
        <w:snapToGrid w:val="0"/>
        <w:spacing w:line="360" w:lineRule="auto"/>
        <w:ind w:firstLine="420" w:firstLineChars="200"/>
        <w:rPr>
          <w:rFonts w:ascii="宋体"/>
          <w:color w:val="000000"/>
          <w:szCs w:val="21"/>
        </w:rPr>
      </w:pPr>
      <w:r>
        <w:rPr>
          <w:rFonts w:ascii="宋体" w:hAnsi="宋体"/>
          <w:color w:val="000000"/>
          <w:szCs w:val="21"/>
        </w:rPr>
        <w:t>GB/T 19719-2005</w:t>
      </w:r>
      <w:r>
        <w:rPr>
          <w:rFonts w:hint="eastAsia" w:ascii="宋体" w:hAnsi="宋体"/>
          <w:color w:val="000000"/>
          <w:szCs w:val="21"/>
        </w:rPr>
        <w:t xml:space="preserve"> 首饰</w:t>
      </w:r>
      <w:r>
        <w:rPr>
          <w:rFonts w:ascii="宋体" w:hAnsi="宋体"/>
          <w:color w:val="000000"/>
          <w:szCs w:val="21"/>
        </w:rPr>
        <w:t xml:space="preserve"> </w:t>
      </w:r>
      <w:r>
        <w:rPr>
          <w:rFonts w:hint="eastAsia" w:ascii="宋体" w:hAnsi="宋体"/>
          <w:color w:val="000000"/>
          <w:szCs w:val="21"/>
        </w:rPr>
        <w:t>镍释放量的测定</w:t>
      </w:r>
      <w:r>
        <w:rPr>
          <w:rFonts w:ascii="宋体" w:hAnsi="宋体"/>
          <w:color w:val="000000"/>
          <w:szCs w:val="21"/>
        </w:rPr>
        <w:t xml:space="preserve"> </w:t>
      </w:r>
      <w:r>
        <w:rPr>
          <w:rFonts w:hint="eastAsia" w:ascii="宋体" w:hAnsi="宋体"/>
          <w:color w:val="000000"/>
          <w:szCs w:val="21"/>
        </w:rPr>
        <w:t>光谱法</w:t>
      </w:r>
    </w:p>
    <w:p>
      <w:pPr>
        <w:snapToGrid w:val="0"/>
        <w:spacing w:line="360" w:lineRule="auto"/>
        <w:ind w:firstLine="420" w:firstLineChars="200"/>
        <w:rPr>
          <w:rFonts w:ascii="宋体"/>
          <w:color w:val="000000"/>
          <w:szCs w:val="21"/>
        </w:rPr>
      </w:pPr>
      <w:r>
        <w:rPr>
          <w:rFonts w:ascii="宋体" w:hAnsi="宋体"/>
          <w:color w:val="000000"/>
          <w:szCs w:val="21"/>
        </w:rPr>
        <w:t xml:space="preserve">GB/T 28019-2011 </w:t>
      </w:r>
      <w:r>
        <w:rPr>
          <w:rFonts w:hint="eastAsia" w:ascii="宋体" w:hAnsi="宋体"/>
          <w:color w:val="000000"/>
          <w:szCs w:val="21"/>
        </w:rPr>
        <w:t>饰品</w:t>
      </w:r>
      <w:r>
        <w:rPr>
          <w:rFonts w:ascii="宋体" w:hAnsi="宋体"/>
          <w:color w:val="000000"/>
          <w:szCs w:val="21"/>
        </w:rPr>
        <w:t xml:space="preserve"> </w:t>
      </w:r>
      <w:r>
        <w:rPr>
          <w:rFonts w:hint="eastAsia" w:ascii="宋体" w:hAnsi="宋体"/>
          <w:color w:val="000000"/>
          <w:szCs w:val="21"/>
        </w:rPr>
        <w:t>六价铬的测定</w:t>
      </w:r>
      <w:r>
        <w:rPr>
          <w:rFonts w:ascii="宋体" w:hAnsi="宋体"/>
          <w:color w:val="000000"/>
          <w:szCs w:val="21"/>
        </w:rPr>
        <w:t xml:space="preserve"> </w:t>
      </w:r>
      <w:r>
        <w:rPr>
          <w:rFonts w:hint="eastAsia" w:ascii="宋体" w:hAnsi="宋体"/>
          <w:color w:val="000000"/>
          <w:szCs w:val="21"/>
        </w:rPr>
        <w:t>二苯碳酰二肼分光光度法</w:t>
      </w:r>
    </w:p>
    <w:p>
      <w:pPr>
        <w:snapToGrid w:val="0"/>
        <w:spacing w:line="360" w:lineRule="auto"/>
        <w:ind w:firstLine="420" w:firstLineChars="200"/>
        <w:rPr>
          <w:rFonts w:hint="eastAsia" w:ascii="宋体" w:hAnsi="宋体"/>
          <w:color w:val="000000"/>
          <w:szCs w:val="21"/>
        </w:rPr>
      </w:pPr>
      <w:r>
        <w:rPr>
          <w:rFonts w:ascii="宋体" w:hAnsi="宋体"/>
          <w:color w:val="000000"/>
          <w:szCs w:val="21"/>
        </w:rPr>
        <w:t>GB/T 28021-2011</w:t>
      </w:r>
      <w:r>
        <w:rPr>
          <w:rFonts w:hint="eastAsia" w:ascii="宋体" w:hAnsi="宋体"/>
          <w:color w:val="000000"/>
          <w:szCs w:val="21"/>
        </w:rPr>
        <w:t xml:space="preserve"> 饰品</w:t>
      </w:r>
      <w:r>
        <w:rPr>
          <w:rFonts w:ascii="宋体" w:hAnsi="宋体"/>
          <w:color w:val="000000"/>
          <w:szCs w:val="21"/>
        </w:rPr>
        <w:t xml:space="preserve"> </w:t>
      </w:r>
      <w:r>
        <w:rPr>
          <w:rFonts w:hint="eastAsia" w:ascii="宋体" w:hAnsi="宋体"/>
          <w:color w:val="000000"/>
          <w:szCs w:val="21"/>
        </w:rPr>
        <w:t>有害元素的测定</w:t>
      </w:r>
      <w:r>
        <w:rPr>
          <w:rFonts w:ascii="宋体" w:hAnsi="宋体"/>
          <w:color w:val="000000"/>
          <w:szCs w:val="21"/>
        </w:rPr>
        <w:t xml:space="preserve"> </w:t>
      </w:r>
      <w:r>
        <w:rPr>
          <w:rFonts w:hint="eastAsia" w:ascii="宋体" w:hAnsi="宋体"/>
          <w:color w:val="000000"/>
          <w:szCs w:val="21"/>
        </w:rPr>
        <w:t>光谱法</w:t>
      </w:r>
    </w:p>
    <w:p>
      <w:pPr>
        <w:snapToGrid w:val="0"/>
        <w:spacing w:line="360" w:lineRule="auto"/>
        <w:ind w:firstLine="420" w:firstLineChars="200"/>
        <w:rPr>
          <w:rFonts w:hint="eastAsia" w:ascii="宋体" w:hAnsi="宋体"/>
          <w:color w:val="000000"/>
          <w:szCs w:val="21"/>
        </w:rPr>
      </w:pPr>
      <w:r>
        <w:rPr>
          <w:rFonts w:ascii="宋体" w:hAnsi="宋体"/>
          <w:color w:val="000000"/>
          <w:szCs w:val="21"/>
        </w:rPr>
        <w:t xml:space="preserve">GB/T 28485-2012 </w:t>
      </w:r>
      <w:r>
        <w:rPr>
          <w:rFonts w:hint="eastAsia" w:ascii="宋体" w:hAnsi="宋体"/>
          <w:color w:val="000000"/>
          <w:szCs w:val="21"/>
        </w:rPr>
        <w:t>镀层饰品</w:t>
      </w:r>
      <w:r>
        <w:rPr>
          <w:rFonts w:ascii="宋体" w:hAnsi="宋体"/>
          <w:color w:val="000000"/>
          <w:szCs w:val="21"/>
        </w:rPr>
        <w:t xml:space="preserve"> </w:t>
      </w:r>
      <w:r>
        <w:rPr>
          <w:rFonts w:hint="eastAsia" w:ascii="宋体" w:hAnsi="宋体"/>
          <w:color w:val="000000"/>
          <w:szCs w:val="21"/>
        </w:rPr>
        <w:t>镍释放量的测定</w:t>
      </w:r>
      <w:r>
        <w:rPr>
          <w:rFonts w:ascii="宋体" w:hAnsi="宋体"/>
          <w:color w:val="000000"/>
          <w:szCs w:val="21"/>
        </w:rPr>
        <w:t xml:space="preserve"> </w:t>
      </w:r>
      <w:r>
        <w:rPr>
          <w:rFonts w:hint="eastAsia" w:ascii="宋体" w:hAnsi="宋体"/>
          <w:color w:val="000000"/>
          <w:szCs w:val="21"/>
        </w:rPr>
        <w:t>磨损和腐蚀模拟法</w:t>
      </w:r>
    </w:p>
    <w:p>
      <w:pPr>
        <w:snapToGrid w:val="0"/>
        <w:spacing w:line="360" w:lineRule="auto"/>
        <w:ind w:firstLine="420" w:firstLineChars="200"/>
        <w:rPr>
          <w:rFonts w:hint="eastAsia" w:ascii="宋体" w:hAnsi="宋体"/>
          <w:color w:val="000000"/>
          <w:szCs w:val="21"/>
        </w:rPr>
      </w:pPr>
      <w:r>
        <w:rPr>
          <w:rFonts w:hint="eastAsia" w:ascii="宋体" w:hAnsi="宋体"/>
          <w:color w:val="000000"/>
          <w:szCs w:val="21"/>
        </w:rPr>
        <w:t>相关的法律、行政法规、部门规章、规范性文件</w:t>
      </w:r>
    </w:p>
    <w:p>
      <w:pPr>
        <w:snapToGrid w:val="0"/>
        <w:spacing w:line="360" w:lineRule="auto"/>
        <w:ind w:firstLine="420" w:firstLineChars="200"/>
        <w:rPr>
          <w:rFonts w:ascii="宋体"/>
          <w:color w:val="000000"/>
          <w:szCs w:val="21"/>
        </w:rPr>
      </w:pPr>
      <w:r>
        <w:rPr>
          <w:rFonts w:hint="eastAsia" w:ascii="宋体" w:hAnsi="宋体"/>
          <w:color w:val="000000"/>
          <w:szCs w:val="21"/>
        </w:rPr>
        <w:t>现行有效的企业标准、团体标准、地方标准及产品明示质量要求</w:t>
      </w:r>
    </w:p>
    <w:p>
      <w:pPr>
        <w:spacing w:line="360" w:lineRule="auto"/>
        <w:rPr>
          <w:rFonts w:hint="eastAsia" w:ascii="黑体" w:hAnsi="黑体" w:eastAsia="黑体"/>
          <w:szCs w:val="21"/>
        </w:rPr>
      </w:pPr>
      <w:r>
        <w:rPr>
          <w:rFonts w:hint="eastAsia" w:ascii="宋体" w:hAnsi="宋体"/>
          <w:szCs w:val="21"/>
        </w:rPr>
        <w:t>3.2判定原则</w:t>
      </w:r>
    </w:p>
    <w:p>
      <w:pPr>
        <w:snapToGrid w:val="0"/>
        <w:spacing w:line="360" w:lineRule="auto"/>
        <w:ind w:firstLine="420" w:firstLineChars="200"/>
        <w:rPr>
          <w:rFonts w:ascii="宋体"/>
          <w:color w:val="FF0000"/>
          <w:szCs w:val="21"/>
        </w:rPr>
      </w:pPr>
      <w:r>
        <w:rPr>
          <w:rFonts w:hint="eastAsia" w:ascii="宋体" w:hAnsi="宋体"/>
          <w:color w:val="000000"/>
          <w:szCs w:val="21"/>
        </w:rPr>
        <w:t>经检验，检验项目全部合格，判定为被抽查产品</w:t>
      </w:r>
      <w:r>
        <w:rPr>
          <w:rFonts w:hint="eastAsia" w:ascii="宋体" w:hAnsi="宋体"/>
          <w:color w:val="000000"/>
          <w:szCs w:val="21"/>
          <w:lang w:eastAsia="zh-CN"/>
        </w:rPr>
        <w:t>所检项目未发现不</w:t>
      </w:r>
      <w:r>
        <w:rPr>
          <w:rFonts w:hint="eastAsia" w:ascii="宋体" w:hAnsi="宋体"/>
          <w:color w:val="000000"/>
          <w:szCs w:val="21"/>
        </w:rPr>
        <w:t>合格；检验项目中任一项或一项以上不合格，判定为被抽查产品不合格。</w:t>
      </w:r>
    </w:p>
    <w:p>
      <w:pPr>
        <w:snapToGrid w:val="0"/>
        <w:spacing w:line="360" w:lineRule="auto"/>
        <w:ind w:firstLine="403" w:firstLineChars="192"/>
        <w:rPr>
          <w:rFonts w:ascii="宋体" w:cs="宋体"/>
          <w:color w:val="000000"/>
          <w:szCs w:val="21"/>
        </w:rPr>
      </w:pPr>
      <w:r>
        <w:rPr>
          <w:rFonts w:hint="eastAsia" w:ascii="宋体" w:hAnsi="宋体" w:cs="宋体"/>
          <w:color w:val="000000"/>
          <w:szCs w:val="21"/>
        </w:rPr>
        <w:t>若被检产品明示的质量要求高于本规范中检验项目依据的标准要求时</w:t>
      </w:r>
      <w:bookmarkStart w:id="0" w:name="_GoBack"/>
      <w:bookmarkEnd w:id="0"/>
      <w:r>
        <w:rPr>
          <w:rFonts w:hint="eastAsia" w:ascii="宋体" w:hAnsi="宋体" w:cs="宋体"/>
          <w:color w:val="000000"/>
          <w:szCs w:val="21"/>
        </w:rPr>
        <w:t>，应按被检产品明示的质量要求判定。</w:t>
      </w:r>
    </w:p>
    <w:p>
      <w:pPr>
        <w:snapToGrid w:val="0"/>
        <w:spacing w:line="360" w:lineRule="auto"/>
        <w:ind w:firstLine="403" w:firstLineChars="192"/>
        <w:rPr>
          <w:rFonts w:ascii="宋体" w:cs="宋体"/>
          <w:color w:val="000000"/>
          <w:szCs w:val="21"/>
        </w:rPr>
      </w:pPr>
      <w:r>
        <w:rPr>
          <w:rFonts w:hint="eastAsia" w:ascii="宋体" w:hAnsi="宋体" w:cs="宋体"/>
          <w:color w:val="000000"/>
          <w:szCs w:val="21"/>
        </w:rPr>
        <w:t>若被检产品明示的质量要求低于本规范中检验项目依据的强制性标准要求时，应按照强制性标准要求判定。</w:t>
      </w:r>
    </w:p>
    <w:p>
      <w:pPr>
        <w:snapToGrid w:val="0"/>
        <w:spacing w:line="360" w:lineRule="auto"/>
        <w:ind w:firstLine="403" w:firstLineChars="192"/>
        <w:rPr>
          <w:rFonts w:ascii="宋体" w:cs="宋体"/>
          <w:color w:val="000000"/>
          <w:szCs w:val="21"/>
        </w:rPr>
      </w:pPr>
      <w:r>
        <w:rPr>
          <w:rFonts w:hint="eastAsia" w:ascii="宋体" w:hAnsi="宋体" w:cs="宋体"/>
          <w:color w:val="000000"/>
          <w:szCs w:val="21"/>
        </w:rPr>
        <w:t>若被检产品明示的质量要求低于或包含规范中检验项目依据的推荐性标准要求时，应以被检产品明示的质量要求判定。</w:t>
      </w:r>
    </w:p>
    <w:p>
      <w:pPr>
        <w:snapToGrid w:val="0"/>
        <w:spacing w:line="360" w:lineRule="auto"/>
        <w:ind w:firstLine="403" w:firstLineChars="192"/>
        <w:rPr>
          <w:rFonts w:ascii="宋体" w:cs="宋体"/>
          <w:color w:val="000000"/>
          <w:szCs w:val="21"/>
        </w:rPr>
      </w:pPr>
      <w:r>
        <w:rPr>
          <w:rFonts w:hint="eastAsia" w:ascii="宋体" w:hAnsi="宋体" w:cs="宋体"/>
          <w:color w:val="000000"/>
          <w:szCs w:val="21"/>
        </w:rPr>
        <w:t>若被检产品明示的质量要求缺少本规范中检验项目依据的强制性标准要求时，应按照强制性标准要求判定。</w:t>
      </w:r>
    </w:p>
    <w:p>
      <w:pPr>
        <w:snapToGrid w:val="0"/>
        <w:spacing w:line="360" w:lineRule="auto"/>
        <w:ind w:firstLine="403" w:firstLineChars="192"/>
        <w:rPr>
          <w:rFonts w:ascii="宋体"/>
          <w:color w:val="000000"/>
          <w:szCs w:val="21"/>
        </w:rPr>
      </w:pPr>
      <w:r>
        <w:rPr>
          <w:rFonts w:hint="eastAsia" w:ascii="宋体" w:hAnsi="宋体" w:cs="宋体"/>
          <w:color w:val="000000"/>
          <w:szCs w:val="21"/>
        </w:rPr>
        <w:t>若被检产品明示的质量要求缺少本规范中检验项目依据的推荐性标准要求时，该项目不参与判定，但应在检验报告备注中进行说明。</w:t>
      </w:r>
    </w:p>
    <w:p>
      <w:pPr>
        <w:snapToGrid w:val="0"/>
        <w:spacing w:line="440" w:lineRule="exact"/>
        <w:rPr>
          <w:rFonts w:ascii="宋体" w:hAnsi="宋体"/>
          <w:szCs w:val="21"/>
        </w:rPr>
      </w:pPr>
    </w:p>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4A6DAD7-A36C-4110-80F1-1D944EC43411}"/>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F9DF7F5E-44F3-4F9F-97C2-E32C4B1B8EE6}"/>
  </w:font>
  <w:font w:name="方正小标宋简体">
    <w:panose1 w:val="02000000000000000000"/>
    <w:charset w:val="86"/>
    <w:family w:val="auto"/>
    <w:pitch w:val="default"/>
    <w:sig w:usb0="00000001" w:usb1="08000000" w:usb2="00000000" w:usb3="00000000" w:csb0="00040000" w:csb1="00000000"/>
    <w:embedRegular r:id="rId3" w:fontKey="{A6BFE2D0-24C6-499A-B00D-3101B872B564}"/>
  </w:font>
  <w:font w:name="仿宋">
    <w:panose1 w:val="02010609060101010101"/>
    <w:charset w:val="86"/>
    <w:family w:val="modern"/>
    <w:pitch w:val="default"/>
    <w:sig w:usb0="800002BF" w:usb1="38CF7CFA" w:usb2="00000016" w:usb3="00000000" w:csb0="00040001" w:csb1="00000000"/>
    <w:embedRegular r:id="rId4" w:fontKey="{0B23819F-A360-4CB8-A561-A2E0EBB2CA79}"/>
  </w:font>
  <w:font w:name="方正仿宋简体">
    <w:altName w:val="微软雅黑"/>
    <w:panose1 w:val="00000000000000000000"/>
    <w:charset w:val="86"/>
    <w:family w:val="script"/>
    <w:pitch w:val="default"/>
    <w:sig w:usb0="00000000" w:usb1="00000000" w:usb2="00000010" w:usb3="00000000" w:csb0="00040000" w:csb1="00000000"/>
    <w:embedRegular r:id="rId5" w:fontKey="{B26DAA24-57A8-4DBD-8333-9DF7E91B25BC}"/>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2</w:t>
    </w:r>
    <w: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F672EB"/>
    <w:rsid w:val="3C486034"/>
    <w:rsid w:val="4059574F"/>
    <w:rsid w:val="5FBA2C3D"/>
    <w:rsid w:val="776230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2021-12-14T05:13:00Z</dcterms:created>
  <dc:creator>Administrator</dc:creator>
  <cp:lastModifiedBy>绵。</cp:lastModifiedBy>
  <dcterms:modified xsi:type="dcterms:W3CDTF">2021-12-27T01:15:40Z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6355DF82EA2F4D75B643B48A36E938B7</vt:lpwstr>
  </property>
</Properties>
</file>