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重庆市儿童自行车产品质量监督抽查实施细则（2022年）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同一生产者按照同一标准生产的同一商标、同一规格型号的产品抽取样品2辆，其中1辆作为检验样品，1辆作为备用样品。</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color w:val="000000"/>
          <w:szCs w:val="21"/>
        </w:rPr>
      </w:pPr>
      <w:r>
        <w:rPr>
          <w:rFonts w:hAnsi="宋体"/>
          <w:color w:val="000000"/>
          <w:szCs w:val="21"/>
        </w:rPr>
        <w:t>表</w:t>
      </w:r>
      <w:r>
        <w:rPr>
          <w:rFonts w:hint="eastAsia"/>
          <w:color w:val="000000"/>
          <w:szCs w:val="21"/>
        </w:rPr>
        <w:t xml:space="preserve">1 </w:t>
      </w:r>
      <w:r>
        <w:rPr>
          <w:rFonts w:hAnsi="宋体"/>
          <w:color w:val="000000"/>
          <w:szCs w:val="21"/>
        </w:rPr>
        <w:t>检验项目</w:t>
      </w:r>
    </w:p>
    <w:tbl>
      <w:tblPr>
        <w:tblStyle w:val="6"/>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978"/>
        <w:gridCol w:w="2693"/>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tcBorders>
              <w:top w:val="single" w:color="auto" w:sz="4" w:space="0"/>
              <w:left w:val="single" w:color="auto" w:sz="4" w:space="0"/>
              <w:right w:val="single" w:color="auto" w:sz="4" w:space="0"/>
            </w:tcBorders>
            <w:vAlign w:val="center"/>
          </w:tcPr>
          <w:p>
            <w:pPr>
              <w:snapToGrid w:val="0"/>
              <w:spacing w:line="440" w:lineRule="exact"/>
              <w:ind w:left="38" w:leftChars="18" w:right="82" w:rightChars="39"/>
              <w:jc w:val="center"/>
              <w:rPr>
                <w:color w:val="000000"/>
                <w:szCs w:val="21"/>
              </w:rPr>
            </w:pPr>
            <w:r>
              <w:rPr>
                <w:color w:val="000000"/>
                <w:szCs w:val="21"/>
              </w:rPr>
              <w:br w:type="page"/>
            </w:r>
            <w:r>
              <w:rPr>
                <w:rFonts w:hAnsi="宋体"/>
                <w:color w:val="000000"/>
                <w:szCs w:val="21"/>
              </w:rPr>
              <w:t>序号</w:t>
            </w:r>
          </w:p>
        </w:tc>
        <w:tc>
          <w:tcPr>
            <w:tcW w:w="2978" w:type="dxa"/>
            <w:tcBorders>
              <w:top w:val="single" w:color="auto" w:sz="4" w:space="0"/>
              <w:left w:val="single" w:color="auto" w:sz="4" w:space="0"/>
              <w:right w:val="single" w:color="auto" w:sz="4" w:space="0"/>
            </w:tcBorders>
            <w:vAlign w:val="center"/>
          </w:tcPr>
          <w:p>
            <w:pPr>
              <w:snapToGrid w:val="0"/>
              <w:spacing w:line="440" w:lineRule="exact"/>
              <w:ind w:left="38" w:leftChars="18" w:right="82" w:rightChars="39"/>
              <w:jc w:val="center"/>
              <w:rPr>
                <w:color w:val="000000"/>
                <w:szCs w:val="21"/>
              </w:rPr>
            </w:pPr>
            <w:r>
              <w:rPr>
                <w:rFonts w:hAnsi="宋体"/>
                <w:color w:val="000000"/>
                <w:szCs w:val="21"/>
              </w:rPr>
              <w:t>检验项目</w:t>
            </w:r>
          </w:p>
        </w:tc>
        <w:tc>
          <w:tcPr>
            <w:tcW w:w="2693" w:type="dxa"/>
            <w:tcBorders>
              <w:top w:val="single" w:color="auto" w:sz="4" w:space="0"/>
              <w:left w:val="single" w:color="auto" w:sz="4" w:space="0"/>
              <w:right w:val="single" w:color="auto" w:sz="4" w:space="0"/>
            </w:tcBorders>
            <w:vAlign w:val="center"/>
          </w:tcPr>
          <w:p>
            <w:pPr>
              <w:snapToGrid w:val="0"/>
              <w:spacing w:line="440" w:lineRule="exact"/>
              <w:ind w:left="38" w:leftChars="18" w:right="82" w:rightChars="39"/>
              <w:jc w:val="center"/>
              <w:rPr>
                <w:color w:val="000000"/>
                <w:szCs w:val="21"/>
              </w:rPr>
            </w:pPr>
            <w:r>
              <w:rPr>
                <w:rFonts w:hint="eastAsia" w:hAnsi="宋体"/>
                <w:color w:val="000000"/>
                <w:szCs w:val="21"/>
              </w:rPr>
              <w:t>判定依据</w:t>
            </w:r>
          </w:p>
        </w:tc>
        <w:tc>
          <w:tcPr>
            <w:tcW w:w="2686" w:type="dxa"/>
            <w:tcBorders>
              <w:top w:val="single" w:color="auto" w:sz="4" w:space="0"/>
              <w:left w:val="single" w:color="auto" w:sz="4" w:space="0"/>
              <w:right w:val="single" w:color="auto" w:sz="4" w:space="0"/>
            </w:tcBorders>
            <w:vAlign w:val="center"/>
          </w:tcPr>
          <w:p>
            <w:pPr>
              <w:snapToGrid w:val="0"/>
              <w:spacing w:line="440" w:lineRule="exact"/>
              <w:ind w:left="38" w:leftChars="18" w:right="82" w:rightChars="39"/>
              <w:jc w:val="center"/>
              <w:rPr>
                <w:color w:val="000000"/>
                <w:szCs w:val="21"/>
              </w:rPr>
            </w:pPr>
            <w:r>
              <w:rPr>
                <w:rFonts w:hAnsi="宋体"/>
                <w:color w:val="000000"/>
                <w:szCs w:val="21"/>
              </w:rPr>
              <w:t>检</w:t>
            </w:r>
            <w:r>
              <w:rPr>
                <w:rFonts w:hint="eastAsia" w:hAnsi="宋体"/>
                <w:color w:val="000000"/>
                <w:szCs w:val="21"/>
              </w:rPr>
              <w:t>验</w:t>
            </w:r>
            <w:r>
              <w:rPr>
                <w:rFonts w:hAnsi="宋体"/>
                <w:color w:val="000000"/>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color w:val="000000"/>
                <w:szCs w:val="21"/>
              </w:rPr>
              <w:t>1</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锐利边缘</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color w:val="000000"/>
                <w:szCs w:val="21"/>
              </w:rPr>
              <w:t>2</w:t>
            </w:r>
          </w:p>
        </w:tc>
        <w:tc>
          <w:tcPr>
            <w:tcW w:w="2978" w:type="dxa"/>
            <w:vAlign w:val="center"/>
          </w:tcPr>
          <w:p>
            <w:pPr>
              <w:snapToGrid w:val="0"/>
              <w:spacing w:line="440" w:lineRule="exact"/>
              <w:ind w:left="38" w:leftChars="18" w:right="82" w:rightChars="39"/>
              <w:jc w:val="center"/>
              <w:rPr>
                <w:color w:val="000000"/>
                <w:szCs w:val="21"/>
              </w:rPr>
            </w:pPr>
            <w:r>
              <w:rPr>
                <w:rFonts w:hint="eastAsia" w:hAnsi="宋体"/>
                <w:color w:val="000000"/>
                <w:szCs w:val="21"/>
              </w:rPr>
              <w:t>外露</w:t>
            </w:r>
            <w:r>
              <w:rPr>
                <w:rFonts w:hAnsi="宋体"/>
                <w:color w:val="000000"/>
                <w:szCs w:val="21"/>
              </w:rPr>
              <w:t>突出物</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14746-2006/3.1.2</w:t>
            </w:r>
            <w:r>
              <w:rPr>
                <w:rFonts w:hint="eastAsia"/>
                <w:color w:val="000000"/>
                <w:szCs w:val="21"/>
              </w:rPr>
              <w:t>.1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14746-2006/3.1.2</w:t>
            </w:r>
            <w:r>
              <w:rPr>
                <w:rFonts w:hint="eastAsia"/>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3</w:t>
            </w:r>
          </w:p>
        </w:tc>
        <w:tc>
          <w:tcPr>
            <w:tcW w:w="2978" w:type="dxa"/>
            <w:vAlign w:val="center"/>
          </w:tcPr>
          <w:p>
            <w:pPr>
              <w:snapToGrid w:val="0"/>
              <w:spacing w:line="440" w:lineRule="exact"/>
              <w:ind w:left="38" w:leftChars="18" w:right="82" w:rightChars="39"/>
              <w:jc w:val="center"/>
              <w:rPr>
                <w:rFonts w:hAnsi="宋体"/>
                <w:color w:val="000000"/>
                <w:szCs w:val="21"/>
              </w:rPr>
            </w:pPr>
            <w:r>
              <w:rPr>
                <w:rFonts w:hint="eastAsia" w:hAnsi="宋体"/>
                <w:color w:val="000000"/>
                <w:szCs w:val="21"/>
              </w:rPr>
              <w:t>突出物禁区、保护装置和螺钉</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14746-2006/3.1.2</w:t>
            </w:r>
            <w:r>
              <w:rPr>
                <w:rFonts w:hint="eastAsia"/>
                <w:color w:val="000000"/>
                <w:szCs w:val="21"/>
              </w:rPr>
              <w:t>.2</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14746-2006/3.1.2</w:t>
            </w: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8" w:hRule="atLeast"/>
          <w:jc w:val="center"/>
        </w:trPr>
        <w:tc>
          <w:tcPr>
            <w:tcW w:w="816" w:type="dxa"/>
            <w:vMerge w:val="restart"/>
            <w:vAlign w:val="center"/>
          </w:tcPr>
          <w:p>
            <w:pPr>
              <w:snapToGrid w:val="0"/>
              <w:spacing w:line="440" w:lineRule="exact"/>
              <w:ind w:left="38" w:leftChars="18" w:right="82" w:rightChars="39"/>
              <w:jc w:val="center"/>
              <w:rPr>
                <w:color w:val="000000"/>
                <w:szCs w:val="21"/>
              </w:rPr>
            </w:pPr>
            <w:r>
              <w:rPr>
                <w:color w:val="000000"/>
                <w:szCs w:val="21"/>
              </w:rPr>
              <w:t>4</w:t>
            </w:r>
          </w:p>
        </w:tc>
        <w:tc>
          <w:tcPr>
            <w:tcW w:w="2978" w:type="dxa"/>
            <w:vMerge w:val="restart"/>
            <w:vAlign w:val="center"/>
          </w:tcPr>
          <w:p>
            <w:pPr>
              <w:snapToGrid w:val="0"/>
              <w:spacing w:line="440" w:lineRule="exact"/>
              <w:ind w:left="38" w:leftChars="18" w:right="82" w:rightChars="39"/>
              <w:jc w:val="center"/>
              <w:rPr>
                <w:color w:val="000000"/>
                <w:szCs w:val="21"/>
              </w:rPr>
            </w:pPr>
            <w:r>
              <w:rPr>
                <w:rFonts w:hAnsi="宋体"/>
                <w:color w:val="000000"/>
                <w:szCs w:val="21"/>
              </w:rPr>
              <w:t>制动系统</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14746-2006/3.2.1.1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Merge w:val="continue"/>
            <w:vAlign w:val="center"/>
          </w:tcPr>
          <w:p>
            <w:pPr>
              <w:snapToGrid w:val="0"/>
              <w:spacing w:line="440" w:lineRule="exact"/>
              <w:ind w:left="38" w:leftChars="18" w:right="82" w:rightChars="39"/>
              <w:jc w:val="center"/>
              <w:rPr>
                <w:color w:val="000000"/>
                <w:szCs w:val="21"/>
              </w:rPr>
            </w:pPr>
          </w:p>
        </w:tc>
        <w:tc>
          <w:tcPr>
            <w:tcW w:w="2978" w:type="dxa"/>
            <w:vMerge w:val="continue"/>
            <w:vAlign w:val="center"/>
          </w:tcPr>
          <w:p>
            <w:pPr>
              <w:snapToGrid w:val="0"/>
              <w:spacing w:line="440" w:lineRule="exact"/>
              <w:ind w:left="38" w:leftChars="18" w:right="82" w:rightChars="39"/>
              <w:jc w:val="center"/>
              <w:rPr>
                <w:color w:val="000000"/>
                <w:szCs w:val="21"/>
              </w:rPr>
            </w:pP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14746-2006/3.2.1.2</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color w:val="000000"/>
                <w:szCs w:val="21"/>
              </w:rPr>
              <w:t>5</w:t>
            </w:r>
          </w:p>
        </w:tc>
        <w:tc>
          <w:tcPr>
            <w:tcW w:w="2978" w:type="dxa"/>
            <w:vAlign w:val="center"/>
          </w:tcPr>
          <w:p>
            <w:pPr>
              <w:snapToGrid w:val="0"/>
              <w:spacing w:line="440" w:lineRule="exact"/>
              <w:ind w:left="38" w:leftChars="18" w:right="82" w:rightChars="39"/>
              <w:jc w:val="center"/>
              <w:rPr>
                <w:color w:val="000000"/>
                <w:szCs w:val="21"/>
              </w:rPr>
            </w:pPr>
            <w:r>
              <w:rPr>
                <w:rFonts w:hint="eastAsia" w:hAnsi="宋体"/>
                <w:color w:val="000000"/>
                <w:szCs w:val="21"/>
              </w:rPr>
              <w:t>闸把尺寸</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14746-2006/3.2.2</w:t>
            </w:r>
            <w:r>
              <w:rPr>
                <w:rFonts w:hint="eastAsia"/>
                <w:color w:val="000000"/>
                <w:szCs w:val="21"/>
              </w:rPr>
              <w:t>.2</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14746-2006/3.2.2</w:t>
            </w: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6</w:t>
            </w:r>
          </w:p>
        </w:tc>
        <w:tc>
          <w:tcPr>
            <w:tcW w:w="2978" w:type="dxa"/>
            <w:vAlign w:val="center"/>
          </w:tcPr>
          <w:p>
            <w:pPr>
              <w:snapToGrid w:val="0"/>
              <w:spacing w:line="440" w:lineRule="exact"/>
              <w:ind w:left="38" w:leftChars="18" w:right="82" w:rightChars="39"/>
              <w:jc w:val="center"/>
              <w:rPr>
                <w:rFonts w:hAnsi="宋体"/>
                <w:color w:val="000000"/>
                <w:szCs w:val="21"/>
              </w:rPr>
            </w:pPr>
            <w:r>
              <w:rPr>
                <w:rFonts w:hint="eastAsia" w:hAnsi="宋体"/>
                <w:color w:val="000000"/>
                <w:szCs w:val="21"/>
              </w:rPr>
              <w:t>手闸</w:t>
            </w:r>
            <w:r>
              <w:rPr>
                <w:rFonts w:hAnsi="宋体"/>
                <w:color w:val="000000"/>
                <w:szCs w:val="21"/>
              </w:rPr>
              <w:t>制动</w:t>
            </w:r>
            <w:r>
              <w:rPr>
                <w:rFonts w:hint="eastAsia" w:hAnsi="宋体"/>
                <w:color w:val="000000"/>
                <w:szCs w:val="21"/>
              </w:rPr>
              <w:t>系统的强度</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14746-2006/3.2.</w:t>
            </w:r>
            <w:r>
              <w:rPr>
                <w:rFonts w:hint="eastAsia"/>
                <w:color w:val="000000"/>
                <w:szCs w:val="21"/>
              </w:rPr>
              <w:t>4.1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w:t>
            </w:r>
            <w:r>
              <w:rPr>
                <w:rFonts w:hint="eastAsia"/>
                <w:color w:val="000000"/>
                <w:szCs w:val="21"/>
              </w:rPr>
              <w:t>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7</w:t>
            </w:r>
          </w:p>
        </w:tc>
        <w:tc>
          <w:tcPr>
            <w:tcW w:w="2978" w:type="dxa"/>
            <w:vAlign w:val="center"/>
          </w:tcPr>
          <w:p>
            <w:pPr>
              <w:snapToGrid w:val="0"/>
              <w:spacing w:line="440" w:lineRule="exact"/>
              <w:ind w:left="38" w:leftChars="18" w:right="82" w:rightChars="39"/>
              <w:jc w:val="center"/>
              <w:rPr>
                <w:color w:val="000000"/>
                <w:szCs w:val="21"/>
              </w:rPr>
            </w:pPr>
            <w:r>
              <w:rPr>
                <w:rFonts w:hint="eastAsia" w:hAnsi="宋体"/>
                <w:color w:val="000000"/>
                <w:szCs w:val="21"/>
              </w:rPr>
              <w:t>手闸</w:t>
            </w:r>
            <w:r>
              <w:rPr>
                <w:rFonts w:hAnsi="宋体"/>
                <w:color w:val="000000"/>
                <w:szCs w:val="21"/>
              </w:rPr>
              <w:t>制动性能</w:t>
            </w:r>
          </w:p>
        </w:tc>
        <w:tc>
          <w:tcPr>
            <w:tcW w:w="2693" w:type="dxa"/>
            <w:vAlign w:val="center"/>
          </w:tcPr>
          <w:p>
            <w:pPr>
              <w:autoSpaceDE w:val="0"/>
              <w:autoSpaceDN w:val="0"/>
              <w:snapToGrid w:val="0"/>
              <w:spacing w:line="440" w:lineRule="exact"/>
              <w:ind w:left="38" w:leftChars="18" w:right="82" w:rightChars="39"/>
              <w:jc w:val="center"/>
              <w:rPr>
                <w:color w:val="000000"/>
                <w:szCs w:val="21"/>
              </w:rPr>
            </w:pPr>
            <w:r>
              <w:rPr>
                <w:color w:val="000000"/>
                <w:szCs w:val="21"/>
              </w:rPr>
              <w:t>GB 14746-2006/3.2.5</w:t>
            </w:r>
            <w:r>
              <w:rPr>
                <w:rFonts w:hint="eastAsia"/>
                <w:color w:val="000000"/>
                <w:szCs w:val="21"/>
              </w:rPr>
              <w:t>.1</w:t>
            </w:r>
          </w:p>
        </w:tc>
        <w:tc>
          <w:tcPr>
            <w:tcW w:w="2686" w:type="dxa"/>
            <w:vAlign w:val="center"/>
          </w:tcPr>
          <w:p>
            <w:pPr>
              <w:autoSpaceDE w:val="0"/>
              <w:autoSpaceDN w:val="0"/>
              <w:snapToGrid w:val="0"/>
              <w:spacing w:line="440" w:lineRule="exact"/>
              <w:ind w:left="38" w:leftChars="18" w:right="82" w:rightChars="39"/>
              <w:jc w:val="center"/>
              <w:rPr>
                <w:color w:val="000000"/>
                <w:szCs w:val="21"/>
              </w:rPr>
            </w:pPr>
            <w:r>
              <w:rPr>
                <w:color w:val="000000"/>
                <w:szCs w:val="21"/>
              </w:rPr>
              <w:t>GB 14746-2006/4.4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8</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把横管</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14746-2006/3.3.1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9</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把横管的把套</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14746-2006/3.3.2</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10</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把立管</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14746-2006/3.3.3</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11</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车把稳定性</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14746-2006/3.3.4</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14746-2006/3.3.4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12</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车把部件的强度</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14746-2006/3.3.5</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14746-2006/4.6.1</w:t>
            </w:r>
            <w:r>
              <w:rPr>
                <w:rFonts w:hint="eastAsia"/>
                <w:color w:val="000000"/>
                <w:szCs w:val="21"/>
              </w:rPr>
              <w:t>、</w:t>
            </w:r>
            <w:r>
              <w:rPr>
                <w:color w:val="000000"/>
                <w:szCs w:val="21"/>
              </w:rPr>
              <w:t>4.6.2</w:t>
            </w:r>
            <w:r>
              <w:rPr>
                <w:rFonts w:hint="eastAsia"/>
                <w:color w:val="000000"/>
                <w:szCs w:val="21"/>
              </w:rPr>
              <w:t>、</w:t>
            </w:r>
            <w:r>
              <w:rPr>
                <w:color w:val="000000"/>
                <w:szCs w:val="21"/>
              </w:rPr>
              <w:t>4.6.3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13</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冲击试验（重物落下）</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14746-2006/3.4.1</w:t>
            </w:r>
          </w:p>
        </w:tc>
        <w:tc>
          <w:tcPr>
            <w:tcW w:w="2686" w:type="dxa"/>
            <w:vAlign w:val="center"/>
          </w:tcPr>
          <w:p>
            <w:pPr>
              <w:snapToGrid w:val="0"/>
              <w:spacing w:line="440" w:lineRule="exact"/>
              <w:ind w:left="38" w:leftChars="18" w:right="82" w:rightChars="39"/>
              <w:jc w:val="center"/>
              <w:rPr>
                <w:color w:val="000000"/>
                <w:szCs w:val="21"/>
              </w:rPr>
            </w:pPr>
            <w:r>
              <w:rPr>
                <w:color w:val="000000"/>
                <w:szCs w:val="21"/>
              </w:rPr>
              <w:t>GB 14746-2006/4.7.1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14</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冲击试验（车架</w:t>
            </w:r>
            <w:r>
              <w:rPr>
                <w:color w:val="000000"/>
                <w:szCs w:val="21"/>
              </w:rPr>
              <w:t>/</w:t>
            </w:r>
            <w:r>
              <w:rPr>
                <w:rFonts w:hAnsi="宋体"/>
                <w:color w:val="000000"/>
                <w:szCs w:val="21"/>
              </w:rPr>
              <w:t>前叉组合件落下）</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14746-2006/3.4.2</w:t>
            </w:r>
          </w:p>
        </w:tc>
        <w:tc>
          <w:tcPr>
            <w:tcW w:w="2686" w:type="dxa"/>
          </w:tcPr>
          <w:p>
            <w:pPr>
              <w:snapToGrid w:val="0"/>
              <w:spacing w:line="440" w:lineRule="exact"/>
              <w:ind w:left="38" w:leftChars="18" w:right="82" w:rightChars="39"/>
              <w:jc w:val="center"/>
              <w:rPr>
                <w:color w:val="000000"/>
                <w:szCs w:val="21"/>
              </w:rPr>
            </w:pPr>
            <w:r>
              <w:rPr>
                <w:color w:val="000000"/>
                <w:szCs w:val="21"/>
              </w:rPr>
              <w:t>GB 14746-2006/4.7.2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15</w:t>
            </w:r>
          </w:p>
        </w:tc>
        <w:tc>
          <w:tcPr>
            <w:tcW w:w="2978" w:type="dxa"/>
            <w:vAlign w:val="center"/>
          </w:tcPr>
          <w:p>
            <w:pPr>
              <w:snapToGrid w:val="0"/>
              <w:spacing w:line="440" w:lineRule="exact"/>
              <w:ind w:left="38" w:leftChars="18" w:right="82" w:rightChars="39"/>
              <w:jc w:val="center"/>
              <w:rPr>
                <w:color w:val="000000"/>
                <w:szCs w:val="21"/>
              </w:rPr>
            </w:pPr>
            <w:r>
              <w:rPr>
                <w:rFonts w:hint="eastAsia" w:hAnsi="宋体"/>
                <w:color w:val="000000"/>
                <w:szCs w:val="21"/>
              </w:rPr>
              <w:t>车轮</w:t>
            </w:r>
            <w:r>
              <w:rPr>
                <w:rFonts w:hAnsi="宋体"/>
                <w:color w:val="000000"/>
                <w:szCs w:val="21"/>
              </w:rPr>
              <w:t>间隙</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14746-2006/3.6.2</w:t>
            </w:r>
          </w:p>
        </w:tc>
        <w:tc>
          <w:tcPr>
            <w:tcW w:w="2686" w:type="dxa"/>
          </w:tcPr>
          <w:p>
            <w:pPr>
              <w:snapToGrid w:val="0"/>
              <w:spacing w:line="440" w:lineRule="exact"/>
              <w:ind w:left="38" w:leftChars="18" w:right="82" w:rightChars="39"/>
              <w:jc w:val="center"/>
              <w:rPr>
                <w:color w:val="000000"/>
                <w:szCs w:val="21"/>
              </w:rPr>
            </w:pPr>
            <w:r>
              <w:rPr>
                <w:color w:val="000000"/>
                <w:szCs w:val="21"/>
              </w:rPr>
              <w:t>GB 14746-2006/3.6.2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16</w:t>
            </w:r>
          </w:p>
        </w:tc>
        <w:tc>
          <w:tcPr>
            <w:tcW w:w="2978" w:type="dxa"/>
            <w:vAlign w:val="center"/>
          </w:tcPr>
          <w:p>
            <w:pPr>
              <w:snapToGrid w:val="0"/>
              <w:spacing w:line="440" w:lineRule="exact"/>
              <w:ind w:left="38" w:leftChars="18" w:right="82" w:rightChars="39"/>
              <w:jc w:val="center"/>
              <w:rPr>
                <w:color w:val="000000"/>
                <w:szCs w:val="21"/>
              </w:rPr>
            </w:pPr>
            <w:r>
              <w:rPr>
                <w:rFonts w:hint="eastAsia" w:hAnsi="宋体"/>
                <w:color w:val="000000"/>
                <w:szCs w:val="21"/>
              </w:rPr>
              <w:t>前轮</w:t>
            </w:r>
            <w:r>
              <w:rPr>
                <w:rFonts w:hAnsi="宋体"/>
                <w:color w:val="000000"/>
                <w:szCs w:val="21"/>
              </w:rPr>
              <w:t>夹持力</w:t>
            </w:r>
          </w:p>
        </w:tc>
        <w:tc>
          <w:tcPr>
            <w:tcW w:w="2693" w:type="dxa"/>
            <w:vAlign w:val="center"/>
          </w:tcPr>
          <w:p>
            <w:pPr>
              <w:autoSpaceDE w:val="0"/>
              <w:autoSpaceDN w:val="0"/>
              <w:snapToGrid w:val="0"/>
              <w:spacing w:line="440" w:lineRule="exact"/>
              <w:ind w:left="38" w:leftChars="18" w:right="82" w:rightChars="39"/>
              <w:jc w:val="center"/>
              <w:rPr>
                <w:color w:val="000000"/>
                <w:szCs w:val="21"/>
              </w:rPr>
            </w:pPr>
            <w:r>
              <w:rPr>
                <w:color w:val="000000"/>
                <w:szCs w:val="21"/>
              </w:rPr>
              <w:t>GB 14746-2006/3.6.4.2</w:t>
            </w:r>
          </w:p>
        </w:tc>
        <w:tc>
          <w:tcPr>
            <w:tcW w:w="2686" w:type="dxa"/>
          </w:tcPr>
          <w:p>
            <w:pPr>
              <w:autoSpaceDE w:val="0"/>
              <w:autoSpaceDN w:val="0"/>
              <w:snapToGrid w:val="0"/>
              <w:spacing w:line="440" w:lineRule="exact"/>
              <w:ind w:left="38" w:leftChars="18" w:right="82" w:rightChars="39"/>
              <w:jc w:val="center"/>
              <w:rPr>
                <w:color w:val="000000"/>
                <w:szCs w:val="21"/>
              </w:rPr>
            </w:pPr>
            <w:r>
              <w:rPr>
                <w:color w:val="000000"/>
                <w:szCs w:val="21"/>
              </w:rPr>
              <w:t>GB 14746-2006/3.6.4.2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17</w:t>
            </w:r>
          </w:p>
        </w:tc>
        <w:tc>
          <w:tcPr>
            <w:tcW w:w="2978" w:type="dxa"/>
            <w:vAlign w:val="center"/>
          </w:tcPr>
          <w:p>
            <w:pPr>
              <w:snapToGrid w:val="0"/>
              <w:spacing w:line="440" w:lineRule="exact"/>
              <w:ind w:left="38" w:leftChars="18" w:right="82" w:rightChars="39"/>
              <w:jc w:val="center"/>
              <w:rPr>
                <w:color w:val="000000"/>
                <w:szCs w:val="21"/>
              </w:rPr>
            </w:pPr>
            <w:r>
              <w:rPr>
                <w:rFonts w:hint="eastAsia" w:hAnsi="宋体"/>
                <w:color w:val="000000"/>
                <w:szCs w:val="21"/>
              </w:rPr>
              <w:t>后轮</w:t>
            </w:r>
            <w:r>
              <w:rPr>
                <w:rFonts w:hAnsi="宋体"/>
                <w:color w:val="000000"/>
                <w:szCs w:val="21"/>
              </w:rPr>
              <w:t>夹持力</w:t>
            </w:r>
          </w:p>
        </w:tc>
        <w:tc>
          <w:tcPr>
            <w:tcW w:w="2693" w:type="dxa"/>
            <w:vAlign w:val="center"/>
          </w:tcPr>
          <w:p>
            <w:pPr>
              <w:autoSpaceDE w:val="0"/>
              <w:autoSpaceDN w:val="0"/>
              <w:snapToGrid w:val="0"/>
              <w:spacing w:line="440" w:lineRule="exact"/>
              <w:ind w:left="38" w:leftChars="18" w:right="82" w:rightChars="39"/>
              <w:jc w:val="center"/>
              <w:rPr>
                <w:color w:val="000000"/>
                <w:szCs w:val="21"/>
              </w:rPr>
            </w:pPr>
            <w:r>
              <w:rPr>
                <w:color w:val="000000"/>
                <w:szCs w:val="21"/>
              </w:rPr>
              <w:t>GB 14746-2006/3.6.4.</w:t>
            </w:r>
            <w:r>
              <w:rPr>
                <w:rFonts w:hint="eastAsia"/>
                <w:color w:val="000000"/>
                <w:szCs w:val="21"/>
              </w:rPr>
              <w:t>3</w:t>
            </w:r>
          </w:p>
        </w:tc>
        <w:tc>
          <w:tcPr>
            <w:tcW w:w="2686" w:type="dxa"/>
          </w:tcPr>
          <w:p>
            <w:pPr>
              <w:autoSpaceDE w:val="0"/>
              <w:autoSpaceDN w:val="0"/>
              <w:snapToGrid w:val="0"/>
              <w:spacing w:line="440" w:lineRule="exact"/>
              <w:ind w:left="38" w:leftChars="18" w:right="82" w:rightChars="39"/>
              <w:jc w:val="center"/>
              <w:rPr>
                <w:color w:val="000000"/>
                <w:szCs w:val="21"/>
              </w:rPr>
            </w:pPr>
            <w:r>
              <w:rPr>
                <w:color w:val="000000"/>
                <w:szCs w:val="21"/>
              </w:rPr>
              <w:t>GB 14746-2006/3.6.4.</w:t>
            </w:r>
            <w:r>
              <w:rPr>
                <w:rFonts w:hint="eastAsia"/>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Merge w:val="restart"/>
            <w:vAlign w:val="center"/>
          </w:tcPr>
          <w:p>
            <w:pPr>
              <w:snapToGrid w:val="0"/>
              <w:spacing w:line="440" w:lineRule="exact"/>
              <w:ind w:left="38" w:leftChars="18" w:right="82" w:rightChars="39"/>
              <w:jc w:val="center"/>
              <w:rPr>
                <w:color w:val="000000"/>
                <w:szCs w:val="21"/>
              </w:rPr>
            </w:pPr>
            <w:r>
              <w:rPr>
                <w:rFonts w:hint="eastAsia"/>
                <w:color w:val="000000"/>
                <w:szCs w:val="21"/>
              </w:rPr>
              <w:t>18</w:t>
            </w:r>
          </w:p>
        </w:tc>
        <w:tc>
          <w:tcPr>
            <w:tcW w:w="2978" w:type="dxa"/>
            <w:vMerge w:val="restart"/>
            <w:vAlign w:val="center"/>
          </w:tcPr>
          <w:p>
            <w:pPr>
              <w:snapToGrid w:val="0"/>
              <w:spacing w:line="440" w:lineRule="exact"/>
              <w:ind w:left="38" w:leftChars="18" w:right="82" w:rightChars="39"/>
              <w:jc w:val="center"/>
              <w:rPr>
                <w:color w:val="000000"/>
                <w:szCs w:val="21"/>
              </w:rPr>
            </w:pPr>
            <w:r>
              <w:rPr>
                <w:rFonts w:hint="eastAsia"/>
                <w:color w:val="000000"/>
                <w:szCs w:val="21"/>
              </w:rPr>
              <w:t>地面</w:t>
            </w:r>
            <w:r>
              <w:rPr>
                <w:rFonts w:hAnsi="宋体"/>
                <w:color w:val="000000"/>
                <w:szCs w:val="21"/>
              </w:rPr>
              <w:t>间隙</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8.2.1.1</w:t>
            </w:r>
          </w:p>
        </w:tc>
        <w:tc>
          <w:tcPr>
            <w:tcW w:w="2686" w:type="dxa"/>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Merge w:val="continue"/>
            <w:vAlign w:val="center"/>
          </w:tcPr>
          <w:p>
            <w:pPr>
              <w:snapToGrid w:val="0"/>
              <w:spacing w:line="440" w:lineRule="exact"/>
              <w:ind w:left="38" w:leftChars="18" w:right="82" w:rightChars="39"/>
              <w:jc w:val="center"/>
              <w:rPr>
                <w:color w:val="000000"/>
                <w:szCs w:val="21"/>
              </w:rPr>
            </w:pPr>
          </w:p>
        </w:tc>
        <w:tc>
          <w:tcPr>
            <w:tcW w:w="2978" w:type="dxa"/>
            <w:vMerge w:val="continue"/>
            <w:vAlign w:val="center"/>
          </w:tcPr>
          <w:p>
            <w:pPr>
              <w:snapToGrid w:val="0"/>
              <w:spacing w:line="440" w:lineRule="exact"/>
              <w:ind w:left="38" w:leftChars="18" w:right="82" w:rightChars="39"/>
              <w:jc w:val="center"/>
              <w:rPr>
                <w:color w:val="000000"/>
                <w:szCs w:val="21"/>
              </w:rPr>
            </w:pP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8.2.1.2</w:t>
            </w:r>
          </w:p>
        </w:tc>
        <w:tc>
          <w:tcPr>
            <w:tcW w:w="2686" w:type="dxa"/>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19</w:t>
            </w:r>
          </w:p>
        </w:tc>
        <w:tc>
          <w:tcPr>
            <w:tcW w:w="2978" w:type="dxa"/>
            <w:vAlign w:val="center"/>
          </w:tcPr>
          <w:p>
            <w:pPr>
              <w:snapToGrid w:val="0"/>
              <w:spacing w:line="440" w:lineRule="exact"/>
              <w:ind w:left="38" w:leftChars="18" w:right="82" w:rightChars="39"/>
              <w:jc w:val="center"/>
              <w:rPr>
                <w:color w:val="000000"/>
                <w:szCs w:val="21"/>
              </w:rPr>
            </w:pPr>
            <w:r>
              <w:rPr>
                <w:rFonts w:hint="eastAsia"/>
                <w:color w:val="000000"/>
                <w:szCs w:val="21"/>
              </w:rPr>
              <w:t>足尖间隙</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8.2.2</w:t>
            </w:r>
          </w:p>
        </w:tc>
        <w:tc>
          <w:tcPr>
            <w:tcW w:w="2686" w:type="dxa"/>
          </w:tcPr>
          <w:p>
            <w:pPr>
              <w:snapToGrid w:val="0"/>
              <w:spacing w:line="440" w:lineRule="exact"/>
              <w:ind w:left="38" w:leftChars="18" w:right="82" w:rightChars="39"/>
              <w:jc w:val="center"/>
              <w:rPr>
                <w:color w:val="000000"/>
                <w:szCs w:val="21"/>
              </w:rPr>
            </w:pPr>
            <w:r>
              <w:rPr>
                <w:color w:val="000000"/>
                <w:szCs w:val="21"/>
              </w:rPr>
              <w:t>GB 14746-2006/3.</w:t>
            </w:r>
            <w:r>
              <w:rPr>
                <w:rFonts w:hint="eastAsia"/>
                <w:color w:val="000000"/>
                <w:szCs w:val="21"/>
              </w:rPr>
              <w:t>8.2.2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20</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脚蹬</w:t>
            </w:r>
            <w:r>
              <w:rPr>
                <w:color w:val="000000"/>
                <w:szCs w:val="21"/>
              </w:rPr>
              <w:t>/</w:t>
            </w:r>
            <w:r>
              <w:rPr>
                <w:rFonts w:hAnsi="宋体"/>
                <w:color w:val="000000"/>
                <w:szCs w:val="21"/>
              </w:rPr>
              <w:t>曲柄组合件动态试验</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14746-2006/3.8.3</w:t>
            </w:r>
          </w:p>
        </w:tc>
        <w:tc>
          <w:tcPr>
            <w:tcW w:w="2686" w:type="dxa"/>
          </w:tcPr>
          <w:p>
            <w:pPr>
              <w:snapToGrid w:val="0"/>
              <w:spacing w:line="440" w:lineRule="exact"/>
              <w:ind w:left="38" w:leftChars="18" w:right="82" w:rightChars="39"/>
              <w:jc w:val="center"/>
              <w:rPr>
                <w:color w:val="000000"/>
                <w:szCs w:val="21"/>
              </w:rPr>
            </w:pPr>
            <w:r>
              <w:rPr>
                <w:color w:val="000000"/>
                <w:szCs w:val="21"/>
              </w:rPr>
              <w:t>GB 14746-2006/4.9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21</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限制尺寸</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14746-2006/3.9.1</w:t>
            </w:r>
          </w:p>
        </w:tc>
        <w:tc>
          <w:tcPr>
            <w:tcW w:w="2686" w:type="dxa"/>
          </w:tcPr>
          <w:p>
            <w:pPr>
              <w:snapToGrid w:val="0"/>
              <w:spacing w:line="440" w:lineRule="exact"/>
              <w:ind w:left="38" w:leftChars="18" w:right="82" w:rightChars="39"/>
              <w:jc w:val="center"/>
              <w:rPr>
                <w:color w:val="000000"/>
                <w:szCs w:val="21"/>
              </w:rPr>
            </w:pPr>
            <w:r>
              <w:rPr>
                <w:color w:val="000000"/>
                <w:szCs w:val="21"/>
              </w:rPr>
              <w:t>GB 14746-2006/3.9.1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22</w:t>
            </w:r>
          </w:p>
        </w:tc>
        <w:tc>
          <w:tcPr>
            <w:tcW w:w="2978" w:type="dxa"/>
            <w:vAlign w:val="center"/>
          </w:tcPr>
          <w:p>
            <w:pPr>
              <w:snapToGrid w:val="0"/>
              <w:spacing w:line="440" w:lineRule="exact"/>
              <w:ind w:left="38" w:leftChars="18" w:right="82" w:rightChars="39"/>
              <w:jc w:val="center"/>
              <w:rPr>
                <w:rFonts w:hAnsi="宋体"/>
                <w:color w:val="000000"/>
                <w:szCs w:val="21"/>
              </w:rPr>
            </w:pPr>
            <w:r>
              <w:rPr>
                <w:rFonts w:hint="eastAsia" w:hAnsi="宋体"/>
                <w:color w:val="000000"/>
                <w:szCs w:val="21"/>
              </w:rPr>
              <w:t>鞍管</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14746-2006/3.9.</w:t>
            </w:r>
            <w:r>
              <w:rPr>
                <w:rFonts w:hint="eastAsia"/>
                <w:color w:val="000000"/>
                <w:szCs w:val="21"/>
              </w:rPr>
              <w:t>2</w:t>
            </w:r>
          </w:p>
        </w:tc>
        <w:tc>
          <w:tcPr>
            <w:tcW w:w="2686" w:type="dxa"/>
          </w:tcPr>
          <w:p>
            <w:pPr>
              <w:snapToGrid w:val="0"/>
              <w:spacing w:line="440" w:lineRule="exact"/>
              <w:ind w:left="38" w:leftChars="18" w:right="82" w:rightChars="39"/>
              <w:jc w:val="center"/>
              <w:rPr>
                <w:color w:val="000000"/>
                <w:szCs w:val="21"/>
              </w:rPr>
            </w:pPr>
            <w:r>
              <w:rPr>
                <w:color w:val="000000"/>
                <w:szCs w:val="21"/>
              </w:rPr>
              <w:t>GB 14746-2006/3.9.</w:t>
            </w: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23</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鞍座调节夹紧装置</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14746-2006/3.9.3</w:t>
            </w:r>
          </w:p>
        </w:tc>
        <w:tc>
          <w:tcPr>
            <w:tcW w:w="2686" w:type="dxa"/>
          </w:tcPr>
          <w:p>
            <w:pPr>
              <w:snapToGrid w:val="0"/>
              <w:spacing w:line="440" w:lineRule="exact"/>
              <w:ind w:left="38" w:leftChars="18" w:right="82" w:rightChars="39"/>
              <w:jc w:val="center"/>
              <w:rPr>
                <w:color w:val="000000"/>
                <w:szCs w:val="21"/>
              </w:rPr>
            </w:pPr>
            <w:r>
              <w:rPr>
                <w:color w:val="000000"/>
                <w:szCs w:val="21"/>
              </w:rPr>
              <w:t>GB 14746-2006/4.10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24</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鞍座的强度</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14746-2006/3.9.4</w:t>
            </w:r>
          </w:p>
        </w:tc>
        <w:tc>
          <w:tcPr>
            <w:tcW w:w="2686" w:type="dxa"/>
          </w:tcPr>
          <w:p>
            <w:pPr>
              <w:snapToGrid w:val="0"/>
              <w:spacing w:line="440" w:lineRule="exact"/>
              <w:ind w:left="38" w:leftChars="18" w:right="82" w:rightChars="39"/>
              <w:jc w:val="center"/>
              <w:rPr>
                <w:color w:val="000000"/>
                <w:szCs w:val="21"/>
              </w:rPr>
            </w:pPr>
            <w:r>
              <w:rPr>
                <w:color w:val="000000"/>
                <w:szCs w:val="21"/>
              </w:rPr>
              <w:t>GB 14746-2006/4.14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25</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驱动系统静负荷试验</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14746-2006/3.10</w:t>
            </w:r>
          </w:p>
        </w:tc>
        <w:tc>
          <w:tcPr>
            <w:tcW w:w="2686" w:type="dxa"/>
          </w:tcPr>
          <w:p>
            <w:pPr>
              <w:snapToGrid w:val="0"/>
              <w:spacing w:line="440" w:lineRule="exact"/>
              <w:ind w:left="38" w:leftChars="18" w:right="82" w:rightChars="39"/>
              <w:jc w:val="center"/>
              <w:rPr>
                <w:color w:val="000000"/>
                <w:szCs w:val="21"/>
              </w:rPr>
            </w:pPr>
            <w:r>
              <w:rPr>
                <w:color w:val="000000"/>
                <w:szCs w:val="21"/>
              </w:rPr>
              <w:t>GB 14746-2006/4.11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26</w:t>
            </w:r>
          </w:p>
        </w:tc>
        <w:tc>
          <w:tcPr>
            <w:tcW w:w="2978" w:type="dxa"/>
            <w:vAlign w:val="center"/>
          </w:tcPr>
          <w:p>
            <w:pPr>
              <w:snapToGrid w:val="0"/>
              <w:spacing w:line="440" w:lineRule="exact"/>
              <w:ind w:left="38" w:leftChars="18" w:right="82" w:rightChars="39"/>
              <w:jc w:val="center"/>
              <w:rPr>
                <w:color w:val="000000"/>
                <w:szCs w:val="21"/>
              </w:rPr>
            </w:pPr>
            <w:r>
              <w:rPr>
                <w:rFonts w:hAnsi="宋体"/>
                <w:color w:val="000000"/>
                <w:szCs w:val="21"/>
              </w:rPr>
              <w:t>链罩</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14746-2006/3.11</w:t>
            </w:r>
          </w:p>
        </w:tc>
        <w:tc>
          <w:tcPr>
            <w:tcW w:w="2686" w:type="dxa"/>
          </w:tcPr>
          <w:p>
            <w:pPr>
              <w:snapToGrid w:val="0"/>
              <w:spacing w:line="440" w:lineRule="exact"/>
              <w:ind w:left="38" w:leftChars="18" w:right="82" w:rightChars="39"/>
              <w:jc w:val="center"/>
              <w:rPr>
                <w:color w:val="000000"/>
                <w:szCs w:val="21"/>
              </w:rPr>
            </w:pPr>
            <w:r>
              <w:rPr>
                <w:color w:val="000000"/>
                <w:szCs w:val="21"/>
              </w:rPr>
              <w:t>GB 14746-2006/3.11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color w:val="000000"/>
                <w:szCs w:val="21"/>
              </w:rPr>
            </w:pPr>
            <w:r>
              <w:rPr>
                <w:rFonts w:hint="eastAsia"/>
                <w:color w:val="000000"/>
                <w:szCs w:val="21"/>
              </w:rPr>
              <w:t>27</w:t>
            </w:r>
          </w:p>
        </w:tc>
        <w:tc>
          <w:tcPr>
            <w:tcW w:w="2978" w:type="dxa"/>
            <w:vAlign w:val="center"/>
          </w:tcPr>
          <w:p>
            <w:pPr>
              <w:snapToGrid w:val="0"/>
              <w:spacing w:line="440" w:lineRule="exact"/>
              <w:ind w:left="38" w:leftChars="18" w:right="82" w:rightChars="39"/>
              <w:jc w:val="center"/>
              <w:rPr>
                <w:color w:val="000000" w:themeColor="text1"/>
                <w:szCs w:val="21"/>
              </w:rPr>
            </w:pPr>
            <w:r>
              <w:rPr>
                <w:rFonts w:hint="eastAsia" w:hAnsi="宋体"/>
                <w:color w:val="000000" w:themeColor="text1"/>
                <w:szCs w:val="21"/>
              </w:rPr>
              <w:t>平衡轮</w:t>
            </w:r>
            <w:r>
              <w:rPr>
                <w:rFonts w:hAnsi="宋体"/>
                <w:color w:val="000000" w:themeColor="text1"/>
                <w:szCs w:val="21"/>
              </w:rPr>
              <w:t>尺寸</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14746-2006/3.12.1</w:t>
            </w:r>
          </w:p>
        </w:tc>
        <w:tc>
          <w:tcPr>
            <w:tcW w:w="2686" w:type="dxa"/>
          </w:tcPr>
          <w:p>
            <w:pPr>
              <w:snapToGrid w:val="0"/>
              <w:spacing w:line="440" w:lineRule="exact"/>
              <w:ind w:left="38" w:leftChars="18" w:right="82" w:rightChars="39"/>
              <w:jc w:val="center"/>
              <w:rPr>
                <w:color w:val="000000"/>
                <w:szCs w:val="21"/>
              </w:rPr>
            </w:pPr>
            <w:r>
              <w:rPr>
                <w:color w:val="000000"/>
                <w:szCs w:val="21"/>
              </w:rPr>
              <w:t>GB 14746-2006/3.12.1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816" w:type="dxa"/>
            <w:vAlign w:val="center"/>
          </w:tcPr>
          <w:p>
            <w:pPr>
              <w:snapToGrid w:val="0"/>
              <w:spacing w:line="440" w:lineRule="exact"/>
              <w:ind w:left="38" w:leftChars="18" w:right="82" w:rightChars="39"/>
              <w:jc w:val="center"/>
              <w:rPr>
                <w:rFonts w:hAnsi="宋体"/>
                <w:color w:val="000000" w:themeColor="text1"/>
                <w:szCs w:val="21"/>
              </w:rPr>
            </w:pPr>
            <w:r>
              <w:rPr>
                <w:rFonts w:hint="eastAsia" w:hAnsi="宋体"/>
                <w:color w:val="000000" w:themeColor="text1"/>
                <w:szCs w:val="21"/>
              </w:rPr>
              <w:t>28</w:t>
            </w:r>
          </w:p>
        </w:tc>
        <w:tc>
          <w:tcPr>
            <w:tcW w:w="2978" w:type="dxa"/>
            <w:vAlign w:val="center"/>
          </w:tcPr>
          <w:p>
            <w:pPr>
              <w:snapToGrid w:val="0"/>
              <w:spacing w:line="440" w:lineRule="exact"/>
              <w:ind w:left="38" w:leftChars="18" w:right="82" w:rightChars="39"/>
              <w:jc w:val="center"/>
              <w:rPr>
                <w:rFonts w:hAnsi="宋体"/>
                <w:color w:val="000000" w:themeColor="text1"/>
                <w:szCs w:val="21"/>
              </w:rPr>
            </w:pPr>
            <w:r>
              <w:rPr>
                <w:rFonts w:hint="eastAsia" w:hAnsi="宋体"/>
                <w:color w:val="000000" w:themeColor="text1"/>
                <w:szCs w:val="21"/>
              </w:rPr>
              <w:t>适用年龄</w:t>
            </w:r>
          </w:p>
        </w:tc>
        <w:tc>
          <w:tcPr>
            <w:tcW w:w="2693" w:type="dxa"/>
            <w:vAlign w:val="center"/>
          </w:tcPr>
          <w:p>
            <w:pPr>
              <w:snapToGrid w:val="0"/>
              <w:spacing w:line="440" w:lineRule="exact"/>
              <w:ind w:left="38" w:leftChars="18" w:right="82" w:rightChars="39"/>
              <w:jc w:val="center"/>
              <w:rPr>
                <w:color w:val="000000"/>
                <w:szCs w:val="21"/>
              </w:rPr>
            </w:pPr>
            <w:r>
              <w:rPr>
                <w:color w:val="000000"/>
                <w:szCs w:val="21"/>
              </w:rPr>
              <w:t>GB 14746-2006/1</w:t>
            </w:r>
          </w:p>
        </w:tc>
        <w:tc>
          <w:tcPr>
            <w:tcW w:w="2686" w:type="dxa"/>
          </w:tcPr>
          <w:p>
            <w:pPr>
              <w:snapToGrid w:val="0"/>
              <w:spacing w:line="440" w:lineRule="exact"/>
              <w:ind w:left="38" w:leftChars="18" w:right="82" w:rightChars="39"/>
              <w:jc w:val="center"/>
              <w:rPr>
                <w:color w:val="000000"/>
                <w:szCs w:val="21"/>
              </w:rPr>
            </w:pPr>
            <w:r>
              <w:rPr>
                <w:color w:val="000000"/>
                <w:szCs w:val="21"/>
              </w:rPr>
              <w:t>GB 14746-2006/3.1</w:t>
            </w:r>
            <w:r>
              <w:rPr>
                <w:rFonts w:hint="eastAsia"/>
                <w:color w:val="000000"/>
                <w:szCs w:val="21"/>
              </w:rPr>
              <w:t>3</w:t>
            </w:r>
          </w:p>
        </w:tc>
      </w:tr>
    </w:tbl>
    <w:p>
      <w:pPr>
        <w:snapToGrid w:val="0"/>
        <w:spacing w:line="440" w:lineRule="exact"/>
        <w:ind w:firstLine="359" w:firstLineChars="171"/>
        <w:rPr>
          <w:rFonts w:ascii="Times New Roman" w:hAnsi="Times New Roman"/>
          <w:color w:val="000000"/>
        </w:rPr>
      </w:pPr>
      <w:r>
        <w:rPr>
          <w:rFonts w:ascii="Times New Roman" w:hAnsi="Times New Roman"/>
          <w:color w:val="000000"/>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bookmarkStart w:id="0" w:name="_GoBack"/>
      <w:bookmarkEnd w:id="0"/>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ascii="宋体" w:hAnsi="宋体"/>
          <w:color w:val="000000"/>
          <w:szCs w:val="21"/>
        </w:rPr>
        <w:t>GB 14746-2006儿童自行车安全要求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color w:val="000000"/>
          <w:szCs w:val="21"/>
        </w:rPr>
      </w:pPr>
      <w:r>
        <w:t>经检验，检验项目全部合格，判定为被抽查产品所检项目未发现不合格；检验项目中任一项或一项以上不合格，判定为被抽查产品不合格</w:t>
      </w:r>
      <w:r>
        <w:rPr>
          <w:rFonts w:hint="eastAsia"/>
        </w:rPr>
        <w:t>。</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00AC9"/>
    <w:rsid w:val="00063F4C"/>
    <w:rsid w:val="00065DD9"/>
    <w:rsid w:val="00070677"/>
    <w:rsid w:val="000709D6"/>
    <w:rsid w:val="0007289B"/>
    <w:rsid w:val="0007432E"/>
    <w:rsid w:val="00092BE8"/>
    <w:rsid w:val="000938BE"/>
    <w:rsid w:val="000A49E7"/>
    <w:rsid w:val="000E7B21"/>
    <w:rsid w:val="000F47BD"/>
    <w:rsid w:val="001002C5"/>
    <w:rsid w:val="001047E9"/>
    <w:rsid w:val="001107C8"/>
    <w:rsid w:val="001115F1"/>
    <w:rsid w:val="00121A44"/>
    <w:rsid w:val="00126693"/>
    <w:rsid w:val="00126D68"/>
    <w:rsid w:val="0013672B"/>
    <w:rsid w:val="00163B06"/>
    <w:rsid w:val="00170C0D"/>
    <w:rsid w:val="00174B80"/>
    <w:rsid w:val="00176416"/>
    <w:rsid w:val="0018638C"/>
    <w:rsid w:val="001A6F39"/>
    <w:rsid w:val="001C108E"/>
    <w:rsid w:val="001C3A65"/>
    <w:rsid w:val="001D01A2"/>
    <w:rsid w:val="001E44BD"/>
    <w:rsid w:val="001F3FE8"/>
    <w:rsid w:val="00200658"/>
    <w:rsid w:val="00207F0B"/>
    <w:rsid w:val="00211FF9"/>
    <w:rsid w:val="002122B4"/>
    <w:rsid w:val="00227EAF"/>
    <w:rsid w:val="00230A9A"/>
    <w:rsid w:val="00240531"/>
    <w:rsid w:val="00245C71"/>
    <w:rsid w:val="00246AC4"/>
    <w:rsid w:val="00263F0A"/>
    <w:rsid w:val="00267D91"/>
    <w:rsid w:val="00272CA1"/>
    <w:rsid w:val="00277D59"/>
    <w:rsid w:val="00284C45"/>
    <w:rsid w:val="00286B66"/>
    <w:rsid w:val="00292F7F"/>
    <w:rsid w:val="002A7AFD"/>
    <w:rsid w:val="00311865"/>
    <w:rsid w:val="00314332"/>
    <w:rsid w:val="00333A9E"/>
    <w:rsid w:val="00360E00"/>
    <w:rsid w:val="0037167C"/>
    <w:rsid w:val="00377C3F"/>
    <w:rsid w:val="003808FF"/>
    <w:rsid w:val="00391DBC"/>
    <w:rsid w:val="003F129E"/>
    <w:rsid w:val="00414D47"/>
    <w:rsid w:val="004350E3"/>
    <w:rsid w:val="00454452"/>
    <w:rsid w:val="00473779"/>
    <w:rsid w:val="004746BD"/>
    <w:rsid w:val="0049360D"/>
    <w:rsid w:val="004C13EF"/>
    <w:rsid w:val="004E1C1B"/>
    <w:rsid w:val="00506FC8"/>
    <w:rsid w:val="00513180"/>
    <w:rsid w:val="00525C57"/>
    <w:rsid w:val="00553171"/>
    <w:rsid w:val="00556685"/>
    <w:rsid w:val="00561840"/>
    <w:rsid w:val="005758EC"/>
    <w:rsid w:val="005832E3"/>
    <w:rsid w:val="005B3386"/>
    <w:rsid w:val="005C1376"/>
    <w:rsid w:val="00605616"/>
    <w:rsid w:val="00622E51"/>
    <w:rsid w:val="00623104"/>
    <w:rsid w:val="0062403D"/>
    <w:rsid w:val="00637135"/>
    <w:rsid w:val="00655983"/>
    <w:rsid w:val="006669B0"/>
    <w:rsid w:val="00681809"/>
    <w:rsid w:val="006C5285"/>
    <w:rsid w:val="006E7112"/>
    <w:rsid w:val="00724404"/>
    <w:rsid w:val="00746248"/>
    <w:rsid w:val="007652FF"/>
    <w:rsid w:val="0076751A"/>
    <w:rsid w:val="007677FA"/>
    <w:rsid w:val="00775C4F"/>
    <w:rsid w:val="007A66BC"/>
    <w:rsid w:val="00813A0F"/>
    <w:rsid w:val="00814659"/>
    <w:rsid w:val="00841DDC"/>
    <w:rsid w:val="008468A1"/>
    <w:rsid w:val="00881578"/>
    <w:rsid w:val="008927E7"/>
    <w:rsid w:val="008B6FBF"/>
    <w:rsid w:val="008C4CED"/>
    <w:rsid w:val="008E46F3"/>
    <w:rsid w:val="008E6FAA"/>
    <w:rsid w:val="008F15D1"/>
    <w:rsid w:val="00914F1C"/>
    <w:rsid w:val="00916257"/>
    <w:rsid w:val="009218FD"/>
    <w:rsid w:val="00922C7B"/>
    <w:rsid w:val="00940525"/>
    <w:rsid w:val="00943D47"/>
    <w:rsid w:val="00950D6F"/>
    <w:rsid w:val="0097606A"/>
    <w:rsid w:val="00990F2D"/>
    <w:rsid w:val="00995C43"/>
    <w:rsid w:val="00996DCB"/>
    <w:rsid w:val="009B0746"/>
    <w:rsid w:val="009B73E8"/>
    <w:rsid w:val="009E3FA0"/>
    <w:rsid w:val="00A02043"/>
    <w:rsid w:val="00A30649"/>
    <w:rsid w:val="00A41A21"/>
    <w:rsid w:val="00A51975"/>
    <w:rsid w:val="00A67D77"/>
    <w:rsid w:val="00A871CD"/>
    <w:rsid w:val="00A957C3"/>
    <w:rsid w:val="00AE29EC"/>
    <w:rsid w:val="00AF157E"/>
    <w:rsid w:val="00AF7D1B"/>
    <w:rsid w:val="00B141CB"/>
    <w:rsid w:val="00B47EB8"/>
    <w:rsid w:val="00B50BA4"/>
    <w:rsid w:val="00B61E92"/>
    <w:rsid w:val="00B64D86"/>
    <w:rsid w:val="00B738AD"/>
    <w:rsid w:val="00B918EF"/>
    <w:rsid w:val="00BB4190"/>
    <w:rsid w:val="00BC2979"/>
    <w:rsid w:val="00BC6C8D"/>
    <w:rsid w:val="00BD6C92"/>
    <w:rsid w:val="00BE295B"/>
    <w:rsid w:val="00BE42E1"/>
    <w:rsid w:val="00BE7DDE"/>
    <w:rsid w:val="00C04B27"/>
    <w:rsid w:val="00C20A78"/>
    <w:rsid w:val="00C642B3"/>
    <w:rsid w:val="00C718EC"/>
    <w:rsid w:val="00C82346"/>
    <w:rsid w:val="00CA1AE0"/>
    <w:rsid w:val="00CC17D0"/>
    <w:rsid w:val="00CC2E25"/>
    <w:rsid w:val="00CC53AD"/>
    <w:rsid w:val="00CE5841"/>
    <w:rsid w:val="00D0415C"/>
    <w:rsid w:val="00D1773D"/>
    <w:rsid w:val="00D2319E"/>
    <w:rsid w:val="00D27146"/>
    <w:rsid w:val="00D5109D"/>
    <w:rsid w:val="00D52087"/>
    <w:rsid w:val="00D63229"/>
    <w:rsid w:val="00D85C1C"/>
    <w:rsid w:val="00DB07CD"/>
    <w:rsid w:val="00DB1A1F"/>
    <w:rsid w:val="00DC4B95"/>
    <w:rsid w:val="00DD3B1A"/>
    <w:rsid w:val="00DD5955"/>
    <w:rsid w:val="00E02D4E"/>
    <w:rsid w:val="00E57D36"/>
    <w:rsid w:val="00E6349C"/>
    <w:rsid w:val="00E71257"/>
    <w:rsid w:val="00EB1677"/>
    <w:rsid w:val="00EF40B5"/>
    <w:rsid w:val="00EF5E2D"/>
    <w:rsid w:val="00F05AD7"/>
    <w:rsid w:val="00F06385"/>
    <w:rsid w:val="00F40458"/>
    <w:rsid w:val="00F5326D"/>
    <w:rsid w:val="00F75F78"/>
    <w:rsid w:val="00F762D5"/>
    <w:rsid w:val="00F7657A"/>
    <w:rsid w:val="00F85ECA"/>
    <w:rsid w:val="00F96067"/>
    <w:rsid w:val="00FB20D9"/>
    <w:rsid w:val="00FC4DEC"/>
    <w:rsid w:val="00FE2C15"/>
    <w:rsid w:val="3A9E5951"/>
    <w:rsid w:val="3DFA34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szCs w:val="20"/>
    </w:rPr>
  </w:style>
  <w:style w:type="paragraph" w:styleId="3">
    <w:name w:val="Balloon Text"/>
    <w:basedOn w:val="1"/>
    <w:link w:val="14"/>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脚 Char"/>
    <w:basedOn w:val="8"/>
    <w:link w:val="4"/>
    <w:qFormat/>
    <w:uiPriority w:val="0"/>
    <w:rPr>
      <w:sz w:val="18"/>
      <w:szCs w:val="18"/>
    </w:rPr>
  </w:style>
  <w:style w:type="character" w:customStyle="1" w:styleId="11">
    <w:name w:val="页眉 Char"/>
    <w:basedOn w:val="8"/>
    <w:link w:val="5"/>
    <w:qFormat/>
    <w:uiPriority w:val="99"/>
    <w:rPr>
      <w:sz w:val="18"/>
      <w:szCs w:val="18"/>
    </w:rPr>
  </w:style>
  <w:style w:type="character" w:customStyle="1" w:styleId="12">
    <w:name w:val="页脚 Char1"/>
    <w:basedOn w:val="8"/>
    <w:semiHidden/>
    <w:qFormat/>
    <w:uiPriority w:val="99"/>
    <w:rPr>
      <w:rFonts w:ascii="Times New Roman" w:hAnsi="Times New Roman" w:eastAsia="宋体" w:cs="Times New Roman"/>
      <w:sz w:val="18"/>
      <w:szCs w:val="18"/>
    </w:rPr>
  </w:style>
  <w:style w:type="character" w:customStyle="1" w:styleId="13">
    <w:name w:val="页眉 Char1"/>
    <w:basedOn w:val="8"/>
    <w:semiHidden/>
    <w:qFormat/>
    <w:uiPriority w:val="99"/>
    <w:rPr>
      <w:rFonts w:ascii="Times New Roman" w:hAnsi="Times New Roman" w:eastAsia="宋体" w:cs="Times New Roman"/>
      <w:sz w:val="18"/>
      <w:szCs w:val="18"/>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纯文本 Char"/>
    <w:basedOn w:val="8"/>
    <w:link w:val="2"/>
    <w:qFormat/>
    <w:uiPriority w:val="0"/>
    <w:rPr>
      <w:rFonts w:ascii="宋体" w:hAnsi="Courier New" w:eastAsia="宋体" w:cs="Times New Roman"/>
      <w:szCs w:val="20"/>
    </w:rPr>
  </w:style>
  <w:style w:type="paragraph" w:customStyle="1" w:styleId="16">
    <w:name w:val="二级无标题条"/>
    <w:basedOn w:val="1"/>
    <w:qFormat/>
    <w:uiPriority w:val="0"/>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18">
    <w:name w:val="二级条标题"/>
    <w:basedOn w:val="1"/>
    <w:next w:val="17"/>
    <w:qFormat/>
    <w:uiPriority w:val="0"/>
    <w:pPr>
      <w:widowControl/>
      <w:tabs>
        <w:tab w:val="left" w:pos="1680"/>
      </w:tabs>
      <w:ind w:left="1680" w:hanging="420"/>
      <w:outlineLvl w:val="3"/>
    </w:pPr>
    <w:rPr>
      <w:rFonts w:ascii="黑体" w:eastAsia="黑体"/>
      <w:kern w:val="0"/>
      <w:szCs w:val="20"/>
    </w:rPr>
  </w:style>
  <w:style w:type="character" w:customStyle="1" w:styleId="19">
    <w:name w:val="font131"/>
    <w:qFormat/>
    <w:uiPriority w:val="0"/>
    <w:rPr>
      <w:rFonts w:hint="eastAsia" w:ascii="方正仿宋_GBK" w:hAnsi="方正仿宋_GBK" w:eastAsia="方正仿宋_GBK" w:cs="方正仿宋_GBK"/>
      <w:color w:val="000000"/>
      <w:sz w:val="22"/>
      <w:szCs w:val="22"/>
      <w:u w:val="none"/>
    </w:rPr>
  </w:style>
  <w:style w:type="paragraph" w:customStyle="1" w:styleId="20">
    <w:name w:val="列项·"/>
    <w:qFormat/>
    <w:uiPriority w:val="99"/>
    <w:pPr>
      <w:tabs>
        <w:tab w:val="left" w:pos="840"/>
      </w:tabs>
      <w:ind w:left="420"/>
      <w:jc w:val="both"/>
    </w:pPr>
    <w:rPr>
      <w:rFonts w:ascii="宋体" w:hAnsi="Calibri"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340</Words>
  <Characters>1940</Characters>
  <Lines>16</Lines>
  <Paragraphs>4</Paragraphs>
  <TotalTime>0</TotalTime>
  <ScaleCrop>false</ScaleCrop>
  <LinksUpToDate>false</LinksUpToDate>
  <CharactersWithSpaces>2276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2021-03-24T12:00:00Z</dcterms:created>
  <dc:creator>pc</dc:creator>
  <cp:lastModifiedBy>董丽楠</cp:lastModifiedBy>
  <dcterms:modified xsi:type="dcterms:W3CDTF">2021-12-28T05:33:27Z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86C8D32F6E1B4879AD444B7266E6C518</vt:lpwstr>
  </property>
</Properties>
</file>