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rPr>
        <w:t>重庆市春夏装产品质量监督抽查实施细则（202</w:t>
      </w:r>
      <w:r>
        <w:rPr>
          <w:rFonts w:hint="default" w:ascii="Times New Roman" w:hAnsi="Times New Roman" w:eastAsia="方正小标宋简体" w:cs="Times New Roman"/>
          <w:color w:val="000000"/>
          <w:sz w:val="32"/>
          <w:szCs w:val="32"/>
          <w:lang w:val="en-US" w:eastAsia="zh-CN"/>
        </w:rPr>
        <w:t>2</w:t>
      </w:r>
      <w:r>
        <w:rPr>
          <w:rFonts w:hint="default" w:ascii="Times New Roman" w:hAnsi="Times New Roman" w:eastAsia="方正小标宋简体" w:cs="Times New Roman"/>
          <w:color w:val="000000"/>
          <w:sz w:val="32"/>
          <w:szCs w:val="32"/>
        </w:rPr>
        <w:t>年）</w:t>
      </w:r>
    </w:p>
    <w:p>
      <w:pPr>
        <w:jc w:val="center"/>
        <w:rPr>
          <w:rFonts w:hint="default" w:ascii="Times New Roman" w:hAnsi="Times New Roman" w:eastAsia="方正小标宋简体" w:cs="Times New Roman"/>
          <w:color w:val="000000"/>
          <w:sz w:val="32"/>
          <w:szCs w:val="32"/>
        </w:rPr>
      </w:pP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1 抽样方法</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抽查样品基数满足抽样数量即可。</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抽取同一生产者按照同一标准生产的同一商标、同一款式（货/款号）、同一花型颜色及材料的产品，其中春夏装抽取样品2件/套/条，其中1件/套/条作为检验样品，1件/套/条作为备用样品。短裤类产品每批次抽取样品3条，其中2条作为检验样品，1条作为备用样品。</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szCs w:val="21"/>
          <w:highlight w:val="none"/>
        </w:rPr>
        <w:t>随机数抽样，随机数一般可使用随机数表、随机数骰子或扑克牌等方法产生。</w:t>
      </w: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2 检验依据</w:t>
      </w:r>
    </w:p>
    <w:p>
      <w:pPr>
        <w:spacing w:line="360" w:lineRule="auto"/>
        <w:ind w:left="420" w:hanging="420" w:hangingChars="200"/>
        <w:contextualSpacing/>
        <w:jc w:val="center"/>
        <w:rPr>
          <w:rFonts w:hint="default" w:ascii="Times New Roman" w:hAnsi="Times New Roman" w:cs="Times New Roman"/>
          <w:szCs w:val="21"/>
        </w:rPr>
      </w:pPr>
      <w:r>
        <w:rPr>
          <w:rFonts w:hint="default" w:ascii="Times New Roman" w:hAnsi="Times New Roman" w:cs="Times New Roman"/>
          <w:szCs w:val="21"/>
        </w:rPr>
        <w:t>表1检验项目</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699"/>
        <w:gridCol w:w="2476"/>
        <w:gridCol w:w="2503"/>
        <w:gridCol w:w="27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Header/>
          <w:jc w:val="center"/>
        </w:trPr>
        <w:tc>
          <w:tcPr>
            <w:tcW w:w="414"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序号</w:t>
            </w:r>
          </w:p>
        </w:tc>
        <w:tc>
          <w:tcPr>
            <w:tcW w:w="1466"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检验项目</w:t>
            </w:r>
          </w:p>
        </w:tc>
        <w:tc>
          <w:tcPr>
            <w:tcW w:w="1482"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判定依据</w:t>
            </w:r>
          </w:p>
        </w:tc>
        <w:tc>
          <w:tcPr>
            <w:tcW w:w="1635"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4"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default" w:ascii="Times New Roman" w:hAnsi="Times New Roman" w:cs="Times New Roman"/>
                <w:color w:val="000000"/>
                <w:szCs w:val="21"/>
              </w:rPr>
            </w:pPr>
          </w:p>
        </w:tc>
        <w:tc>
          <w:tcPr>
            <w:tcW w:w="1466"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甲醛含量</w:t>
            </w:r>
          </w:p>
        </w:tc>
        <w:tc>
          <w:tcPr>
            <w:tcW w:w="1482"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18401-2010</w:t>
            </w:r>
          </w:p>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2912.1-2009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4"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default" w:ascii="Times New Roman" w:hAnsi="Times New Roman" w:cs="Times New Roman"/>
                <w:color w:val="000000"/>
                <w:szCs w:val="21"/>
              </w:rPr>
            </w:pPr>
          </w:p>
        </w:tc>
        <w:tc>
          <w:tcPr>
            <w:tcW w:w="1466"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pH 值</w:t>
            </w:r>
          </w:p>
        </w:tc>
        <w:tc>
          <w:tcPr>
            <w:tcW w:w="1482"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18401-2010</w:t>
            </w:r>
          </w:p>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7573-2009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4"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default" w:ascii="Times New Roman" w:hAnsi="Times New Roman" w:cs="Times New Roman"/>
                <w:color w:val="000000"/>
                <w:szCs w:val="21"/>
              </w:rPr>
            </w:pPr>
          </w:p>
        </w:tc>
        <w:tc>
          <w:tcPr>
            <w:tcW w:w="1466"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可分解致癌芳香胺染料</w:t>
            </w:r>
            <w:r>
              <w:rPr>
                <w:rFonts w:hint="default" w:ascii="Times New Roman" w:hAnsi="Times New Roman" w:cs="Times New Roman"/>
                <w:color w:val="000000"/>
                <w:szCs w:val="21"/>
                <w:vertAlign w:val="superscript"/>
              </w:rPr>
              <w:t>①</w:t>
            </w:r>
          </w:p>
        </w:tc>
        <w:tc>
          <w:tcPr>
            <w:tcW w:w="1482"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18401-2010</w:t>
            </w:r>
          </w:p>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17592-2011</w:t>
            </w:r>
          </w:p>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23344-2009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4"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default" w:ascii="Times New Roman" w:hAnsi="Times New Roman" w:cs="Times New Roman"/>
                <w:color w:val="000000"/>
                <w:szCs w:val="21"/>
              </w:rPr>
            </w:pPr>
          </w:p>
        </w:tc>
        <w:tc>
          <w:tcPr>
            <w:tcW w:w="1466"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异味</w:t>
            </w:r>
          </w:p>
        </w:tc>
        <w:tc>
          <w:tcPr>
            <w:tcW w:w="1482"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18401-2010</w:t>
            </w:r>
          </w:p>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18401-2010 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4"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default" w:ascii="Times New Roman" w:hAnsi="Times New Roman" w:cs="Times New Roman"/>
                <w:color w:val="000000"/>
                <w:szCs w:val="21"/>
              </w:rPr>
            </w:pPr>
          </w:p>
        </w:tc>
        <w:tc>
          <w:tcPr>
            <w:tcW w:w="1466"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vertAlign w:val="superscript"/>
              </w:rPr>
            </w:pPr>
            <w:r>
              <w:rPr>
                <w:rFonts w:hint="default" w:ascii="Times New Roman" w:hAnsi="Times New Roman" w:cs="Times New Roman"/>
                <w:color w:val="000000"/>
                <w:szCs w:val="21"/>
              </w:rPr>
              <w:t>耐水色牢度</w:t>
            </w:r>
            <w:r>
              <w:rPr>
                <w:rFonts w:hint="default" w:ascii="Times New Roman" w:hAnsi="Times New Roman" w:cs="Times New Roman"/>
                <w:color w:val="000000"/>
                <w:szCs w:val="21"/>
                <w:vertAlign w:val="superscript"/>
              </w:rPr>
              <w:t>②</w:t>
            </w:r>
          </w:p>
        </w:tc>
        <w:tc>
          <w:tcPr>
            <w:tcW w:w="1482"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18401-2010</w:t>
            </w:r>
          </w:p>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5713-2013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4"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default" w:ascii="Times New Roman" w:hAnsi="Times New Roman" w:cs="Times New Roman"/>
                <w:color w:val="000000"/>
                <w:szCs w:val="21"/>
              </w:rPr>
            </w:pPr>
          </w:p>
        </w:tc>
        <w:tc>
          <w:tcPr>
            <w:tcW w:w="1466"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耐酸汗渍色牢度</w:t>
            </w:r>
            <w:r>
              <w:rPr>
                <w:rFonts w:hint="default" w:ascii="Times New Roman" w:hAnsi="Times New Roman" w:cs="Times New Roman"/>
                <w:color w:val="000000"/>
                <w:szCs w:val="21"/>
                <w:vertAlign w:val="superscript"/>
              </w:rPr>
              <w:t>②</w:t>
            </w:r>
          </w:p>
        </w:tc>
        <w:tc>
          <w:tcPr>
            <w:tcW w:w="1482"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18401-2010</w:t>
            </w:r>
          </w:p>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4"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default" w:ascii="Times New Roman" w:hAnsi="Times New Roman" w:cs="Times New Roman"/>
                <w:color w:val="000000"/>
                <w:szCs w:val="21"/>
              </w:rPr>
            </w:pPr>
          </w:p>
        </w:tc>
        <w:tc>
          <w:tcPr>
            <w:tcW w:w="1466"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耐碱汗渍色牢度</w:t>
            </w:r>
            <w:r>
              <w:rPr>
                <w:rFonts w:hint="default" w:ascii="Times New Roman" w:hAnsi="Times New Roman" w:cs="Times New Roman"/>
                <w:color w:val="000000"/>
                <w:szCs w:val="21"/>
                <w:vertAlign w:val="superscript"/>
              </w:rPr>
              <w:t>②</w:t>
            </w:r>
          </w:p>
        </w:tc>
        <w:tc>
          <w:tcPr>
            <w:tcW w:w="1482"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18401-2010</w:t>
            </w:r>
          </w:p>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3922-2013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4"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default" w:ascii="Times New Roman" w:hAnsi="Times New Roman" w:cs="Times New Roman"/>
                <w:color w:val="000000"/>
                <w:szCs w:val="21"/>
              </w:rPr>
            </w:pPr>
          </w:p>
        </w:tc>
        <w:tc>
          <w:tcPr>
            <w:tcW w:w="1466"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耐干摩擦色牢度</w:t>
            </w:r>
            <w:r>
              <w:rPr>
                <w:rFonts w:hint="default" w:ascii="Times New Roman" w:hAnsi="Times New Roman" w:cs="Times New Roman"/>
                <w:color w:val="000000"/>
                <w:szCs w:val="21"/>
                <w:vertAlign w:val="superscript"/>
              </w:rPr>
              <w:t>②</w:t>
            </w:r>
          </w:p>
        </w:tc>
        <w:tc>
          <w:tcPr>
            <w:tcW w:w="1482"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 18401-2010</w:t>
            </w:r>
          </w:p>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相应产品标准</w:t>
            </w:r>
          </w:p>
        </w:tc>
        <w:tc>
          <w:tcPr>
            <w:tcW w:w="1635"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4"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default" w:ascii="Times New Roman" w:hAnsi="Times New Roman" w:cs="Times New Roman"/>
                <w:color w:val="000000"/>
                <w:szCs w:val="21"/>
              </w:rPr>
            </w:pPr>
          </w:p>
        </w:tc>
        <w:tc>
          <w:tcPr>
            <w:tcW w:w="1466"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纤维含量</w:t>
            </w:r>
          </w:p>
        </w:tc>
        <w:tc>
          <w:tcPr>
            <w:tcW w:w="1482"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szCs w:val="21"/>
              </w:rPr>
            </w:pPr>
            <w:r>
              <w:rPr>
                <w:rFonts w:hint="default" w:ascii="Times New Roman" w:hAnsi="Times New Roman" w:cs="Times New Roman"/>
                <w:color w:val="000000"/>
                <w:szCs w:val="21"/>
              </w:rPr>
              <w:t>GB/T 29862-2013</w:t>
            </w:r>
          </w:p>
        </w:tc>
        <w:tc>
          <w:tcPr>
            <w:tcW w:w="1635" w:type="pct"/>
            <w:tcMar>
              <w:top w:w="0" w:type="dxa"/>
              <w:left w:w="70" w:type="dxa"/>
              <w:bottom w:w="0" w:type="dxa"/>
              <w:right w:w="70" w:type="dxa"/>
            </w:tcMar>
            <w:vAlign w:val="center"/>
          </w:tcPr>
          <w:p>
            <w:pPr>
              <w:spacing w:line="288" w:lineRule="auto"/>
              <w:jc w:val="center"/>
              <w:rPr>
                <w:rFonts w:hint="default" w:ascii="Times New Roman" w:hAnsi="Times New Roman" w:cs="Times New Roman"/>
                <w:szCs w:val="21"/>
              </w:rPr>
            </w:pPr>
            <w:r>
              <w:rPr>
                <w:rFonts w:hint="default" w:ascii="Times New Roman" w:hAnsi="Times New Roman" w:cs="Times New Roman"/>
                <w:szCs w:val="21"/>
              </w:rPr>
              <w:t>GB/T 2910.1～24-2009</w:t>
            </w:r>
            <w:r>
              <w:rPr>
                <w:rFonts w:hint="default" w:ascii="Times New Roman" w:hAnsi="Times New Roman" w:cs="Times New Roman"/>
                <w:szCs w:val="21"/>
              </w:rPr>
              <w:br w:type="textWrapping"/>
            </w:r>
            <w:r>
              <w:rPr>
                <w:rFonts w:hint="default" w:ascii="Times New Roman" w:hAnsi="Times New Roman" w:cs="Times New Roman"/>
                <w:szCs w:val="21"/>
              </w:rPr>
              <w:t>GB/T 2910.101-2009</w:t>
            </w:r>
            <w:r>
              <w:rPr>
                <w:rFonts w:hint="default" w:ascii="Times New Roman" w:hAnsi="Times New Roman" w:cs="Times New Roman"/>
                <w:szCs w:val="21"/>
              </w:rPr>
              <w:br w:type="textWrapping"/>
            </w:r>
            <w:r>
              <w:rPr>
                <w:rFonts w:hint="default" w:ascii="Times New Roman" w:hAnsi="Times New Roman" w:cs="Times New Roman"/>
                <w:szCs w:val="21"/>
              </w:rPr>
              <w:t>GB/T 16988-2013</w:t>
            </w:r>
          </w:p>
          <w:p>
            <w:pPr>
              <w:spacing w:line="288" w:lineRule="auto"/>
              <w:jc w:val="center"/>
              <w:rPr>
                <w:rFonts w:hint="default" w:ascii="Times New Roman" w:hAnsi="Times New Roman" w:cs="Times New Roman"/>
                <w:color w:val="000000"/>
                <w:szCs w:val="21"/>
              </w:rPr>
            </w:pPr>
            <w:r>
              <w:rPr>
                <w:rFonts w:hint="default" w:ascii="Times New Roman" w:hAnsi="Times New Roman" w:cs="Times New Roman"/>
                <w:szCs w:val="21"/>
              </w:rPr>
              <w:t>GB/T 32198-2015</w:t>
            </w:r>
            <w:r>
              <w:rPr>
                <w:rFonts w:hint="default" w:ascii="Times New Roman" w:hAnsi="Times New Roman" w:cs="Times New Roman"/>
                <w:szCs w:val="21"/>
              </w:rPr>
              <w:br w:type="textWrapping"/>
            </w:r>
            <w:r>
              <w:rPr>
                <w:rFonts w:hint="default" w:ascii="Times New Roman" w:hAnsi="Times New Roman" w:cs="Times New Roman"/>
                <w:szCs w:val="21"/>
              </w:rPr>
              <w:t>FZ/T 01026-2017</w:t>
            </w:r>
            <w:r>
              <w:rPr>
                <w:rFonts w:hint="default" w:ascii="Times New Roman" w:hAnsi="Times New Roman" w:cs="Times New Roman"/>
                <w:szCs w:val="21"/>
              </w:rPr>
              <w:br w:type="textWrapping"/>
            </w:r>
            <w:r>
              <w:rPr>
                <w:rFonts w:hint="default" w:ascii="Times New Roman" w:hAnsi="Times New Roman" w:cs="Times New Roman"/>
                <w:szCs w:val="21"/>
              </w:rPr>
              <w:t>FZ/T 01095-2002</w:t>
            </w:r>
            <w:r>
              <w:rPr>
                <w:rFonts w:hint="default" w:ascii="Times New Roman" w:hAnsi="Times New Roman" w:cs="Times New Roman"/>
                <w:szCs w:val="21"/>
              </w:rPr>
              <w:br w:type="textWrapping"/>
            </w:r>
            <w:r>
              <w:rPr>
                <w:rFonts w:hint="default" w:ascii="Times New Roman" w:hAnsi="Times New Roman" w:cs="Times New Roman"/>
                <w:szCs w:val="21"/>
              </w:rPr>
              <w:t>FZ/T 01101-2008</w:t>
            </w:r>
            <w:r>
              <w:rPr>
                <w:rFonts w:hint="default" w:ascii="Times New Roman" w:hAnsi="Times New Roman" w:cs="Times New Roman"/>
                <w:szCs w:val="21"/>
              </w:rPr>
              <w:br w:type="textWrapping"/>
            </w:r>
            <w:r>
              <w:rPr>
                <w:rFonts w:hint="default" w:ascii="Times New Roman" w:hAnsi="Times New Roman" w:cs="Times New Roman"/>
                <w:szCs w:val="21"/>
              </w:rPr>
              <w:t>FZ/T 01103-2009</w:t>
            </w:r>
            <w:r>
              <w:rPr>
                <w:rFonts w:hint="default" w:ascii="Times New Roman" w:hAnsi="Times New Roman" w:cs="Times New Roman"/>
                <w:szCs w:val="21"/>
              </w:rPr>
              <w:br w:type="textWrapping"/>
            </w:r>
            <w:r>
              <w:rPr>
                <w:rFonts w:hint="default" w:ascii="Times New Roman" w:hAnsi="Times New Roman" w:cs="Times New Roman"/>
                <w:szCs w:val="21"/>
              </w:rPr>
              <w:t>FZ/T 01112-2012</w:t>
            </w:r>
            <w:r>
              <w:rPr>
                <w:rFonts w:hint="default" w:ascii="Times New Roman" w:hAnsi="Times New Roman" w:cs="Times New Roman"/>
                <w:szCs w:val="21"/>
              </w:rPr>
              <w:br w:type="textWrapping"/>
            </w:r>
            <w:r>
              <w:rPr>
                <w:rFonts w:hint="default" w:ascii="Times New Roman" w:hAnsi="Times New Roman" w:cs="Times New Roman"/>
                <w:szCs w:val="21"/>
              </w:rPr>
              <w:t>FZ/T 01131-2016</w:t>
            </w:r>
            <w:r>
              <w:rPr>
                <w:rFonts w:hint="default" w:ascii="Times New Roman" w:hAnsi="Times New Roman" w:cs="Times New Roman"/>
                <w:szCs w:val="21"/>
              </w:rPr>
              <w:br w:type="textWrapping"/>
            </w:r>
            <w:r>
              <w:rPr>
                <w:rFonts w:hint="default" w:ascii="Times New Roman" w:hAnsi="Times New Roman" w:cs="Times New Roman"/>
                <w:szCs w:val="21"/>
              </w:rPr>
              <w:t>FZ/T 01132-2016</w:t>
            </w:r>
            <w:r>
              <w:rPr>
                <w:rFonts w:hint="default" w:ascii="Times New Roman" w:hAnsi="Times New Roman" w:cs="Times New Roman"/>
                <w:szCs w:val="21"/>
              </w:rPr>
              <w:br w:type="textWrapping"/>
            </w:r>
            <w:r>
              <w:rPr>
                <w:rFonts w:hint="default" w:ascii="Times New Roman" w:hAnsi="Times New Roman" w:cs="Times New Roman"/>
                <w:szCs w:val="21"/>
              </w:rPr>
              <w:t>FZ/T 30003-2009</w:t>
            </w:r>
            <w:r>
              <w:rPr>
                <w:rFonts w:hint="default" w:ascii="Times New Roman" w:hAnsi="Times New Roman" w:cs="Times New Roman"/>
                <w:szCs w:val="21"/>
              </w:rPr>
              <w:br w:type="textWrapping"/>
            </w:r>
            <w:r>
              <w:rPr>
                <w:rFonts w:hint="default" w:ascii="Times New Roman" w:hAnsi="Times New Roman" w:cs="Times New Roman"/>
                <w:szCs w:val="21"/>
              </w:rPr>
              <w:t>FZ/T 40005-2009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4"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default" w:ascii="Times New Roman" w:hAnsi="Times New Roman" w:cs="Times New Roman"/>
                <w:color w:val="000000"/>
                <w:szCs w:val="21"/>
              </w:rPr>
            </w:pPr>
          </w:p>
        </w:tc>
        <w:tc>
          <w:tcPr>
            <w:tcW w:w="1466" w:type="pct"/>
            <w:tcMar>
              <w:top w:w="0" w:type="dxa"/>
              <w:left w:w="70" w:type="dxa"/>
              <w:bottom w:w="0" w:type="dxa"/>
              <w:right w:w="70" w:type="dxa"/>
            </w:tcMar>
            <w:vAlign w:val="center"/>
          </w:tcPr>
          <w:p>
            <w:pPr>
              <w:spacing w:line="38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耐湿摩擦色牢度</w:t>
            </w:r>
            <w:r>
              <w:rPr>
                <w:rFonts w:hint="default" w:ascii="Times New Roman" w:hAnsi="Times New Roman" w:cs="Times New Roman"/>
                <w:color w:val="000000" w:themeColor="text1"/>
                <w:szCs w:val="21"/>
                <w:vertAlign w:val="superscript"/>
                <w14:textFill>
                  <w14:solidFill>
                    <w14:schemeClr w14:val="tx1"/>
                  </w14:solidFill>
                </w14:textFill>
              </w:rPr>
              <w:t>②</w:t>
            </w:r>
          </w:p>
        </w:tc>
        <w:tc>
          <w:tcPr>
            <w:tcW w:w="1482" w:type="pct"/>
            <w:tcMar>
              <w:top w:w="0" w:type="dxa"/>
              <w:left w:w="70" w:type="dxa"/>
              <w:bottom w:w="0" w:type="dxa"/>
              <w:right w:w="70" w:type="dxa"/>
            </w:tcMar>
            <w:vAlign w:val="center"/>
          </w:tcPr>
          <w:p>
            <w:pPr>
              <w:spacing w:line="38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相应产品标准</w:t>
            </w:r>
          </w:p>
        </w:tc>
        <w:tc>
          <w:tcPr>
            <w:tcW w:w="1635" w:type="pct"/>
            <w:tcMar>
              <w:top w:w="0" w:type="dxa"/>
              <w:left w:w="70" w:type="dxa"/>
              <w:bottom w:w="0" w:type="dxa"/>
              <w:right w:w="70" w:type="dxa"/>
            </w:tcMar>
            <w:vAlign w:val="center"/>
          </w:tcPr>
          <w:p>
            <w:pPr>
              <w:spacing w:line="38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GB/T 3920-2008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414" w:type="pct"/>
            <w:tcMar>
              <w:top w:w="0" w:type="dxa"/>
              <w:left w:w="70" w:type="dxa"/>
              <w:bottom w:w="0" w:type="dxa"/>
              <w:right w:w="70" w:type="dxa"/>
            </w:tcMar>
            <w:vAlign w:val="center"/>
          </w:tcPr>
          <w:p>
            <w:pPr>
              <w:numPr>
                <w:ilvl w:val="0"/>
                <w:numId w:val="1"/>
              </w:numPr>
              <w:tabs>
                <w:tab w:val="clear" w:pos="420"/>
              </w:tabs>
              <w:spacing w:line="288" w:lineRule="auto"/>
              <w:ind w:left="0" w:firstLine="0"/>
              <w:jc w:val="center"/>
              <w:rPr>
                <w:rFonts w:hint="default" w:ascii="Times New Roman" w:hAnsi="Times New Roman" w:cs="Times New Roman"/>
                <w:color w:val="000000"/>
                <w:szCs w:val="21"/>
              </w:rPr>
            </w:pPr>
          </w:p>
        </w:tc>
        <w:tc>
          <w:tcPr>
            <w:tcW w:w="1466"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耐光、汗复合色牢度</w:t>
            </w:r>
            <w:r>
              <w:rPr>
                <w:rFonts w:hint="default" w:ascii="Times New Roman" w:hAnsi="Times New Roman" w:cs="Times New Roman"/>
                <w:color w:val="000000" w:themeColor="text1"/>
                <w:szCs w:val="21"/>
                <w:vertAlign w:val="superscript"/>
                <w14:textFill>
                  <w14:solidFill>
                    <w14:schemeClr w14:val="tx1"/>
                  </w14:solidFill>
                </w14:textFill>
              </w:rPr>
              <w:t>③</w:t>
            </w:r>
          </w:p>
        </w:tc>
        <w:tc>
          <w:tcPr>
            <w:tcW w:w="1482"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相应产品标准</w:t>
            </w:r>
          </w:p>
        </w:tc>
        <w:tc>
          <w:tcPr>
            <w:tcW w:w="1635" w:type="pct"/>
            <w:tcMar>
              <w:top w:w="0" w:type="dxa"/>
              <w:left w:w="70" w:type="dxa"/>
              <w:bottom w:w="0" w:type="dxa"/>
              <w:right w:w="70" w:type="dxa"/>
            </w:tcMar>
            <w:vAlign w:val="center"/>
          </w:tcPr>
          <w:p>
            <w:pPr>
              <w:spacing w:line="288" w:lineRule="auto"/>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GB/T 14576-2009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5000" w:type="pct"/>
            <w:gridSpan w:val="4"/>
            <w:tcMar>
              <w:top w:w="0" w:type="dxa"/>
              <w:left w:w="70" w:type="dxa"/>
              <w:bottom w:w="0" w:type="dxa"/>
              <w:right w:w="70" w:type="dxa"/>
            </w:tcMar>
            <w:vAlign w:val="center"/>
          </w:tcPr>
          <w:p>
            <w:pPr>
              <w:spacing w:line="288" w:lineRule="auto"/>
              <w:jc w:val="left"/>
              <w:rPr>
                <w:rFonts w:hint="default" w:ascii="Times New Roman" w:hAnsi="Times New Roman" w:cs="Times New Roman"/>
                <w:color w:val="000000"/>
                <w:szCs w:val="21"/>
              </w:rPr>
            </w:pPr>
            <w:r>
              <w:rPr>
                <w:rFonts w:hint="default" w:ascii="Times New Roman" w:hAnsi="Times New Roman" w:cs="Times New Roman"/>
                <w:color w:val="000000"/>
                <w:szCs w:val="21"/>
              </w:rPr>
              <w:t>备注：</w:t>
            </w:r>
          </w:p>
          <w:p>
            <w:pPr>
              <w:spacing w:line="288" w:lineRule="auto"/>
              <w:jc w:val="left"/>
              <w:rPr>
                <w:rFonts w:hint="default" w:ascii="Times New Roman" w:hAnsi="Times New Roman" w:cs="Times New Roman"/>
                <w:color w:val="000000"/>
                <w:szCs w:val="21"/>
              </w:rPr>
            </w:pPr>
            <w:r>
              <w:rPr>
                <w:rFonts w:hint="default" w:ascii="Times New Roman" w:hAnsi="Times New Roman" w:cs="Times New Roman"/>
                <w:color w:val="000000"/>
                <w:szCs w:val="21"/>
              </w:rPr>
              <w:t>A、①纺织品可分解致癌芳香胺染料检测采用GC/MS定性，出现阳性结果时用HPLC/DAD进一步确认和定量；②白色产品不检测；③仅考核</w:t>
            </w:r>
            <w:r>
              <w:rPr>
                <w:rFonts w:hint="eastAsia" w:ascii="Times New Roman" w:hAnsi="Times New Roman" w:cs="Times New Roman"/>
                <w:color w:val="000000"/>
                <w:szCs w:val="21"/>
                <w:lang w:val="en-US" w:eastAsia="zh-CN"/>
              </w:rPr>
              <w:t>直接接触皮肤的产品</w:t>
            </w:r>
            <w:r>
              <w:rPr>
                <w:rFonts w:hint="default" w:ascii="Times New Roman" w:hAnsi="Times New Roman" w:cs="Times New Roman"/>
                <w:color w:val="000000"/>
                <w:szCs w:val="21"/>
              </w:rPr>
              <w:t>；</w:t>
            </w:r>
          </w:p>
          <w:p>
            <w:pPr>
              <w:spacing w:line="288" w:lineRule="auto"/>
              <w:jc w:val="left"/>
              <w:rPr>
                <w:rFonts w:hint="default" w:ascii="Times New Roman" w:hAnsi="Times New Roman" w:cs="Times New Roman"/>
                <w:color w:val="000000"/>
                <w:szCs w:val="21"/>
              </w:rPr>
            </w:pPr>
            <w:r>
              <w:rPr>
                <w:rFonts w:hint="default" w:ascii="Times New Roman" w:hAnsi="Times New Roman" w:cs="Times New Roman"/>
                <w:color w:val="000000"/>
                <w:szCs w:val="21"/>
              </w:rPr>
              <w:t>B、若样品量不能满足所有试验要求，按照异味、纤维含量、可分解致癌芳香胺染料、甲醛含量、pH值、耐</w:t>
            </w:r>
            <w:r>
              <w:rPr>
                <w:rFonts w:hint="eastAsia" w:ascii="Times New Roman" w:hAnsi="Times New Roman" w:cs="Times New Roman"/>
                <w:color w:val="000000"/>
                <w:szCs w:val="21"/>
                <w:lang w:val="en-US" w:eastAsia="zh-CN"/>
              </w:rPr>
              <w:t>酸</w:t>
            </w:r>
            <w:r>
              <w:rPr>
                <w:rFonts w:hint="default" w:ascii="Times New Roman" w:hAnsi="Times New Roman" w:cs="Times New Roman"/>
                <w:color w:val="000000"/>
                <w:szCs w:val="21"/>
              </w:rPr>
              <w:t>汗渍色牢度、耐</w:t>
            </w:r>
            <w:r>
              <w:rPr>
                <w:rFonts w:hint="eastAsia" w:ascii="Times New Roman" w:hAnsi="Times New Roman" w:cs="Times New Roman"/>
                <w:color w:val="000000"/>
                <w:szCs w:val="21"/>
                <w:lang w:val="en-US" w:eastAsia="zh-CN"/>
              </w:rPr>
              <w:t>碱</w:t>
            </w:r>
            <w:r>
              <w:rPr>
                <w:rFonts w:hint="default" w:ascii="Times New Roman" w:hAnsi="Times New Roman" w:cs="Times New Roman"/>
                <w:color w:val="000000"/>
                <w:szCs w:val="21"/>
              </w:rPr>
              <w:t>汗渍色牢度、耐</w:t>
            </w:r>
            <w:r>
              <w:rPr>
                <w:rFonts w:hint="eastAsia" w:ascii="Times New Roman" w:hAnsi="Times New Roman" w:cs="Times New Roman"/>
                <w:color w:val="000000"/>
                <w:szCs w:val="21"/>
                <w:lang w:val="en-US" w:eastAsia="zh-CN"/>
              </w:rPr>
              <w:t>干</w:t>
            </w:r>
            <w:r>
              <w:rPr>
                <w:rFonts w:hint="default" w:ascii="Times New Roman" w:hAnsi="Times New Roman" w:cs="Times New Roman"/>
                <w:color w:val="000000"/>
                <w:szCs w:val="21"/>
              </w:rPr>
              <w:t>摩擦色牢度、耐</w:t>
            </w:r>
            <w:r>
              <w:rPr>
                <w:rFonts w:hint="eastAsia" w:ascii="Times New Roman" w:hAnsi="Times New Roman" w:cs="Times New Roman"/>
                <w:color w:val="000000"/>
                <w:szCs w:val="21"/>
                <w:lang w:val="en-US" w:eastAsia="zh-CN"/>
              </w:rPr>
              <w:t>湿</w:t>
            </w:r>
            <w:r>
              <w:rPr>
                <w:rFonts w:hint="default" w:ascii="Times New Roman" w:hAnsi="Times New Roman" w:cs="Times New Roman"/>
                <w:color w:val="000000"/>
                <w:szCs w:val="21"/>
              </w:rPr>
              <w:t>摩擦色牢度、耐水色牢度、耐光、汗复合色牢度的取样顺序进行检测；</w:t>
            </w:r>
          </w:p>
          <w:p>
            <w:pPr>
              <w:spacing w:line="380" w:lineRule="exact"/>
              <w:rPr>
                <w:rFonts w:hint="default" w:ascii="Times New Roman" w:hAnsi="Times New Roman" w:eastAsia="宋体" w:cs="Times New Roman"/>
                <w:lang w:val="en-US" w:eastAsia="zh-CN"/>
              </w:rPr>
            </w:pPr>
            <w:r>
              <w:rPr>
                <w:rFonts w:hint="default" w:ascii="Times New Roman" w:hAnsi="Times New Roman" w:cs="Times New Roman"/>
                <w:color w:val="000000"/>
                <w:szCs w:val="21"/>
              </w:rPr>
              <w:t>C、</w:t>
            </w:r>
            <w:r>
              <w:rPr>
                <w:rFonts w:hint="default" w:ascii="Times New Roman" w:hAnsi="Times New Roman" w:eastAsia="宋体" w:cs="Times New Roman"/>
                <w:lang w:val="en-US" w:eastAsia="zh-CN"/>
              </w:rPr>
              <w:t>当样品形状、大小或重量等不能满足某个检测项目的样品需求时，该项目不予考核</w:t>
            </w:r>
            <w:r>
              <w:rPr>
                <w:rFonts w:hint="eastAsia" w:ascii="Times New Roman" w:hAnsi="Times New Roman" w:eastAsia="宋体" w:cs="Times New Roman"/>
                <w:lang w:val="en-US" w:eastAsia="zh-CN"/>
              </w:rPr>
              <w:t>；</w:t>
            </w:r>
          </w:p>
          <w:p>
            <w:pPr>
              <w:spacing w:line="380" w:lineRule="exact"/>
              <w:rPr>
                <w:rFonts w:hint="eastAsia" w:ascii="Times New Roman" w:hAnsi="Times New Roman" w:cs="Times New Roman" w:eastAsiaTheme="minorEastAsia"/>
                <w:lang w:val="en-US" w:eastAsia="zh-CN"/>
              </w:rPr>
            </w:pPr>
            <w:r>
              <w:rPr>
                <w:rFonts w:hint="eastAsia" w:ascii="Times New Roman" w:hAnsi="Times New Roman" w:eastAsia="宋体" w:cs="Times New Roman"/>
                <w:lang w:val="en-US" w:eastAsia="zh-CN"/>
              </w:rPr>
              <w:t>D、</w:t>
            </w:r>
            <w:r>
              <w:rPr>
                <w:rFonts w:hint="eastAsia" w:ascii="Times New Roman" w:hAnsi="Times New Roman"/>
                <w:bCs/>
                <w:color w:val="auto"/>
                <w:szCs w:val="21"/>
              </w:rPr>
              <w:t>当样品明示产品标准为国家标准或行业标准时，标准中未要求的检验项目不予考核</w:t>
            </w:r>
            <w:r>
              <w:rPr>
                <w:rFonts w:hint="eastAsia" w:ascii="Times New Roman" w:hAnsi="Times New Roman"/>
                <w:bCs/>
                <w:color w:val="auto"/>
                <w:szCs w:val="21"/>
                <w:lang w:eastAsia="zh-CN"/>
              </w:rPr>
              <w:t>。</w:t>
            </w:r>
          </w:p>
        </w:tc>
      </w:tr>
    </w:tbl>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凡是注日期的文件，其随后所有的修改单（不包括勘误的内容）或修订版不适用于本细则。</w:t>
      </w:r>
    </w:p>
    <w:p>
      <w:pPr>
        <w:spacing w:line="440" w:lineRule="exact"/>
        <w:rPr>
          <w:rFonts w:hint="default" w:ascii="Times New Roman" w:hAnsi="Times New Roman" w:eastAsia="黑体" w:cs="Times New Roman"/>
          <w:color w:val="000000"/>
          <w:szCs w:val="21"/>
        </w:rPr>
      </w:pPr>
      <w:r>
        <w:rPr>
          <w:rFonts w:hint="default" w:ascii="Times New Roman" w:hAnsi="Times New Roman" w:eastAsia="黑体" w:cs="Times New Roman"/>
          <w:color w:val="000000"/>
          <w:szCs w:val="21"/>
        </w:rPr>
        <w:t>3 判定规则</w:t>
      </w:r>
    </w:p>
    <w:p>
      <w:pPr>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3.1依据标准</w:t>
      </w:r>
    </w:p>
    <w:p>
      <w:pPr>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3.1.1基础标准</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 18401-2010 国家纺织产品基本安全技术规范</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5296.4-2012 消费品使用说明 第4部分：纺织品和服装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29862-2013 纺织品纤维含量的标志</w:t>
      </w:r>
    </w:p>
    <w:p>
      <w:pPr>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3.1.2相应产品标准</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2660-2017 衬衫</w:t>
      </w:r>
    </w:p>
    <w:p>
      <w:pPr>
        <w:snapToGrid w:val="0"/>
        <w:spacing w:line="440" w:lineRule="exact"/>
        <w:ind w:firstLine="420" w:firstLineChars="200"/>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lang w:val="en-US" w:eastAsia="zh-CN"/>
        </w:rPr>
        <w:t>GB/T 2662-2017</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lang w:val="en-US" w:eastAsia="zh-CN"/>
        </w:rPr>
        <w:t>棉服装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2664-2017 男西服、大衣</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2665-2017 女西服、大衣</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2666-2017 西裤</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22700-2016 水洗整理服装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22849-2014 针织T恤衫</w:t>
      </w:r>
    </w:p>
    <w:p>
      <w:pPr>
        <w:snapToGrid w:val="0"/>
        <w:spacing w:line="440" w:lineRule="exact"/>
        <w:ind w:firstLine="420" w:firstLineChars="200"/>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lang w:val="en-US" w:eastAsia="zh-CN"/>
        </w:rPr>
        <w:t>GB/T 26384-2011 针织棉服装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26385-2011 针织拼接服装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22853-2009 针织运动服</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22853-2019 针织运动服</w:t>
      </w:r>
    </w:p>
    <w:p>
      <w:pPr>
        <w:snapToGrid w:val="0"/>
        <w:spacing w:line="440" w:lineRule="exact"/>
        <w:ind w:firstLine="420" w:firstLineChars="200"/>
        <w:rPr>
          <w:rFonts w:hint="default" w:ascii="Times New Roman" w:hAnsi="Times New Roman" w:cs="Times New Roman"/>
          <w:szCs w:val="21"/>
        </w:rPr>
      </w:pPr>
      <w:r>
        <w:rPr>
          <w:rFonts w:hint="default" w:ascii="Times New Roman" w:hAnsi="Times New Roman" w:cs="Times New Roman"/>
          <w:szCs w:val="21"/>
        </w:rPr>
        <w:t>GB/T 32614-2016 户外运动服装 冲锋衣</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GB/T 18132-2016 丝绸服装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73010-2016 针织工艺衫</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73020-2012 针织休闲服装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73020-2019 针织休闲服装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73056-2016</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针织西服</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81017-2012 非粘合衬西服</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73026-2014 针织裙、裙套</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73029-2009 针织裤</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73029-2019 针织裤</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73032-2017 针织牛仔服装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73043-2012 针织衬衫</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73043-2020 针织衬衫</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73064-2019</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针织西裤</w:t>
      </w:r>
    </w:p>
    <w:p>
      <w:pPr>
        <w:snapToGrid w:val="0"/>
        <w:spacing w:line="440" w:lineRule="exact"/>
        <w:ind w:firstLine="420" w:firstLineChars="200"/>
        <w:rPr>
          <w:rFonts w:hint="default" w:ascii="Times New Roman" w:hAnsi="Times New Roman" w:cs="Times New Roman" w:eastAsiaTheme="minorEastAsia"/>
          <w:color w:val="000000"/>
          <w:szCs w:val="21"/>
          <w:lang w:val="en-US" w:eastAsia="zh-CN"/>
        </w:rPr>
      </w:pPr>
      <w:r>
        <w:rPr>
          <w:rFonts w:hint="default" w:ascii="Times New Roman" w:hAnsi="Times New Roman" w:cs="Times New Roman"/>
          <w:color w:val="000000"/>
          <w:szCs w:val="21"/>
          <w:lang w:val="en-US" w:eastAsia="zh-CN"/>
        </w:rPr>
        <w:t>FZ/T 73067-2020 接触凉感针织服装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74007-2019 户外防晒皮肤衣</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73061-2019 针织茄克衫</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73062-2019 针织沙滩服</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43015-2011</w:t>
      </w:r>
      <w:r>
        <w:rPr>
          <w:rFonts w:hint="eastAsia" w:ascii="Times New Roman" w:hAnsi="Times New Roman" w:cs="Times New Roman"/>
          <w:color w:val="000000"/>
          <w:szCs w:val="21"/>
          <w:lang w:val="en-US" w:eastAsia="zh-CN"/>
        </w:rPr>
        <w:t xml:space="preserve"> </w:t>
      </w:r>
      <w:r>
        <w:rPr>
          <w:rFonts w:hint="default" w:ascii="Times New Roman" w:hAnsi="Times New Roman" w:cs="Times New Roman"/>
          <w:color w:val="000000"/>
          <w:szCs w:val="21"/>
        </w:rPr>
        <w:t>桑蚕丝针织服装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81016-2016 莨绸服装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81004-2012 连衣裙、裙套</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81006-2017 牛仔服装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81007-2012 单、夹服装</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81008-2011 茄克衫</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81008-20</w:t>
      </w:r>
      <w:r>
        <w:rPr>
          <w:rFonts w:hint="default" w:ascii="Times New Roman" w:hAnsi="Times New Roman" w:cs="Times New Roman"/>
          <w:color w:val="000000"/>
          <w:szCs w:val="21"/>
          <w:lang w:val="en-US" w:eastAsia="zh-CN"/>
        </w:rPr>
        <w:t>21</w:t>
      </w:r>
      <w:r>
        <w:rPr>
          <w:rFonts w:hint="default" w:ascii="Times New Roman" w:hAnsi="Times New Roman" w:cs="Times New Roman"/>
          <w:color w:val="000000"/>
          <w:szCs w:val="21"/>
        </w:rPr>
        <w:t xml:space="preserve"> 茄克衫</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FZ/T 81010-2018 风衣</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相关的法律、行政法规、部门规章、规范性文件</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现行有效的企业标准、团体标准、地方标准及产品明示质量要求</w:t>
      </w:r>
    </w:p>
    <w:p>
      <w:pPr>
        <w:spacing w:line="440" w:lineRule="exact"/>
        <w:rPr>
          <w:rFonts w:hint="default" w:ascii="Times New Roman" w:hAnsi="Times New Roman" w:cs="Times New Roman"/>
          <w:color w:val="000000"/>
          <w:szCs w:val="21"/>
        </w:rPr>
      </w:pPr>
      <w:r>
        <w:rPr>
          <w:rFonts w:hint="default" w:ascii="Times New Roman" w:hAnsi="Times New Roman" w:cs="Times New Roman"/>
          <w:color w:val="000000"/>
          <w:szCs w:val="21"/>
        </w:rPr>
        <w:t>3.2判定原则</w:t>
      </w:r>
    </w:p>
    <w:p>
      <w:pPr>
        <w:pStyle w:val="2"/>
        <w:adjustRightInd w:val="0"/>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经检验，检验项目全部合格，判定为被抽查产品</w:t>
      </w:r>
      <w:r>
        <w:rPr>
          <w:rFonts w:hint="default" w:ascii="Times New Roman" w:hAnsi="Times New Roman" w:cs="Times New Roman"/>
          <w:color w:val="000000"/>
          <w:szCs w:val="21"/>
          <w:lang w:eastAsia="zh-CN"/>
        </w:rPr>
        <w:t>所检项目未发现不</w:t>
      </w:r>
      <w:r>
        <w:rPr>
          <w:rFonts w:hint="default" w:ascii="Times New Roman" w:hAnsi="Times New Roman" w:cs="Times New Roman"/>
          <w:color w:val="000000"/>
          <w:szCs w:val="21"/>
        </w:rPr>
        <w:t>合格；检验项目中任一项或一项以上不合格，判定为被抽查产品不合格。</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若被检产品明示的质量要求高于本</w:t>
      </w:r>
      <w:r>
        <w:rPr>
          <w:rFonts w:hint="default" w:ascii="Times New Roman" w:hAnsi="Times New Roman" w:cs="Times New Roman"/>
          <w:color w:val="000000"/>
          <w:szCs w:val="21"/>
          <w:lang w:eastAsia="zh-CN"/>
        </w:rPr>
        <w:t>细则</w:t>
      </w:r>
      <w:r>
        <w:rPr>
          <w:rFonts w:hint="default" w:ascii="Times New Roman" w:hAnsi="Times New Roman" w:cs="Times New Roman"/>
          <w:color w:val="000000"/>
          <w:szCs w:val="21"/>
        </w:rPr>
        <w:t>中检验项目依据的标准要求时，应按被检产品明示的质量要求判定。</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若被检产品明示的质量要求低于本</w:t>
      </w:r>
      <w:r>
        <w:rPr>
          <w:rFonts w:hint="default" w:ascii="Times New Roman" w:hAnsi="Times New Roman" w:cs="Times New Roman"/>
          <w:color w:val="000000"/>
          <w:szCs w:val="21"/>
          <w:lang w:eastAsia="zh-CN"/>
        </w:rPr>
        <w:t>细则</w:t>
      </w:r>
      <w:r>
        <w:rPr>
          <w:rFonts w:hint="default" w:ascii="Times New Roman" w:hAnsi="Times New Roman" w:cs="Times New Roman"/>
          <w:color w:val="000000"/>
          <w:szCs w:val="21"/>
        </w:rPr>
        <w:t>中检验项目依据的强制性标准要求时，应按照强制性标准要求判定。</w:t>
      </w:r>
    </w:p>
    <w:p>
      <w:pPr>
        <w:snapToGrid w:val="0"/>
        <w:spacing w:line="440" w:lineRule="exact"/>
        <w:ind w:firstLine="420" w:firstLineChars="200"/>
        <w:rPr>
          <w:rFonts w:hint="default" w:ascii="Times New Roman" w:hAnsi="Times New Roman" w:cs="Times New Roman" w:eastAsiaTheme="minorEastAsia"/>
          <w:color w:val="000000"/>
          <w:szCs w:val="21"/>
          <w:lang w:eastAsia="zh-CN"/>
        </w:rPr>
      </w:pPr>
      <w:r>
        <w:rPr>
          <w:rFonts w:hint="default" w:ascii="Times New Roman" w:hAnsi="Times New Roman" w:cs="Times New Roman"/>
          <w:color w:val="000000"/>
          <w:szCs w:val="21"/>
        </w:rPr>
        <w:t>若被检产品明示的质量要求低于或包含</w:t>
      </w:r>
      <w:r>
        <w:rPr>
          <w:rFonts w:hint="default" w:ascii="Times New Roman" w:hAnsi="Times New Roman" w:cs="Times New Roman"/>
          <w:color w:val="000000"/>
          <w:szCs w:val="21"/>
          <w:lang w:eastAsia="zh-CN"/>
        </w:rPr>
        <w:t>细则</w:t>
      </w:r>
      <w:r>
        <w:rPr>
          <w:rFonts w:hint="default" w:ascii="Times New Roman" w:hAnsi="Times New Roman" w:cs="Times New Roman"/>
          <w:color w:val="000000"/>
          <w:szCs w:val="21"/>
        </w:rPr>
        <w:t>中检验项目依据的推荐性标准要求时，应以被检产品明示的质量要求判定</w:t>
      </w:r>
      <w:r>
        <w:rPr>
          <w:rFonts w:hint="default" w:ascii="Times New Roman" w:hAnsi="Times New Roman" w:cs="Times New Roman"/>
          <w:color w:val="000000"/>
          <w:szCs w:val="21"/>
          <w:lang w:eastAsia="zh-CN"/>
        </w:rPr>
        <w:t>，但应在检验报告备注中进行说明。</w:t>
      </w:r>
    </w:p>
    <w:p>
      <w:pPr>
        <w:snapToGrid w:val="0"/>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szCs w:val="21"/>
        </w:rPr>
        <w:t>若被检产品明示的质量要求缺少本</w:t>
      </w:r>
      <w:r>
        <w:rPr>
          <w:rFonts w:hint="default" w:ascii="Times New Roman" w:hAnsi="Times New Roman" w:cs="Times New Roman"/>
          <w:color w:val="000000"/>
          <w:szCs w:val="21"/>
          <w:lang w:eastAsia="zh-CN"/>
        </w:rPr>
        <w:t>细则</w:t>
      </w:r>
      <w:r>
        <w:rPr>
          <w:rFonts w:hint="default" w:ascii="Times New Roman" w:hAnsi="Times New Roman" w:cs="Times New Roman"/>
          <w:color w:val="000000"/>
          <w:szCs w:val="21"/>
        </w:rPr>
        <w:t>中检验项目依据的强制性标准要求时，应按照强制性标准要求判定。</w:t>
      </w:r>
    </w:p>
    <w:p>
      <w:pPr>
        <w:spacing w:line="440" w:lineRule="exact"/>
        <w:ind w:firstLine="420" w:firstLineChars="200"/>
        <w:rPr>
          <w:rFonts w:hint="default" w:ascii="Times New Roman" w:hAnsi="Times New Roman" w:cs="Times New Roman"/>
          <w:color w:val="000000"/>
          <w:szCs w:val="21"/>
        </w:rPr>
      </w:pPr>
      <w:r>
        <w:rPr>
          <w:rFonts w:hint="default" w:ascii="Times New Roman" w:hAnsi="Times New Roman" w:cs="Times New Roman"/>
          <w:color w:val="000000" w:themeColor="text1"/>
          <w14:textFill>
            <w14:solidFill>
              <w14:schemeClr w14:val="tx1"/>
            </w14:solidFill>
          </w14:textFill>
        </w:rPr>
        <w:t>若被检产品明示的质量要求缺少本</w:t>
      </w:r>
      <w:r>
        <w:rPr>
          <w:rFonts w:hint="default" w:ascii="Times New Roman" w:hAnsi="Times New Roman" w:cs="Times New Roman"/>
          <w:color w:val="000000" w:themeColor="text1"/>
          <w:lang w:eastAsia="zh-CN"/>
          <w14:textFill>
            <w14:solidFill>
              <w14:schemeClr w14:val="tx1"/>
            </w14:solidFill>
          </w14:textFill>
        </w:rPr>
        <w:t>细则</w:t>
      </w:r>
      <w:r>
        <w:rPr>
          <w:rFonts w:hint="default" w:ascii="Times New Roman" w:hAnsi="Times New Roman" w:cs="Times New Roman"/>
          <w:color w:val="000000" w:themeColor="text1"/>
          <w14:textFill>
            <w14:solidFill>
              <w14:schemeClr w14:val="tx1"/>
            </w14:solidFill>
          </w14:textFill>
        </w:rPr>
        <w:t>中检验项目依据的推荐性标准要求时，该项目不参与判定，但应在检验报告备注中进行说明。</w:t>
      </w:r>
      <w:bookmarkStart w:id="0" w:name="_GoBack"/>
      <w:bookmarkEnd w:id="0"/>
    </w:p>
    <w:p>
      <w:pPr>
        <w:spacing w:line="440" w:lineRule="exact"/>
        <w:ind w:firstLine="200"/>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21FF2D"/>
    <w:multiLevelType w:val="singleLevel"/>
    <w:tmpl w:val="9121FF2D"/>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5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4F3"/>
    <w:rsid w:val="000126DF"/>
    <w:rsid w:val="00060F42"/>
    <w:rsid w:val="000754B9"/>
    <w:rsid w:val="000845F1"/>
    <w:rsid w:val="00091732"/>
    <w:rsid w:val="000A2363"/>
    <w:rsid w:val="00174C09"/>
    <w:rsid w:val="001A0FAF"/>
    <w:rsid w:val="001F6374"/>
    <w:rsid w:val="0021015C"/>
    <w:rsid w:val="002B7953"/>
    <w:rsid w:val="002D4C24"/>
    <w:rsid w:val="00346381"/>
    <w:rsid w:val="00361522"/>
    <w:rsid w:val="003624FB"/>
    <w:rsid w:val="003E6407"/>
    <w:rsid w:val="0040152F"/>
    <w:rsid w:val="0041479A"/>
    <w:rsid w:val="004659D1"/>
    <w:rsid w:val="004718C4"/>
    <w:rsid w:val="004B295F"/>
    <w:rsid w:val="004B4002"/>
    <w:rsid w:val="004C1BC8"/>
    <w:rsid w:val="005057EB"/>
    <w:rsid w:val="00513C01"/>
    <w:rsid w:val="00523301"/>
    <w:rsid w:val="00546614"/>
    <w:rsid w:val="00562DA6"/>
    <w:rsid w:val="005A1339"/>
    <w:rsid w:val="00634839"/>
    <w:rsid w:val="006A0150"/>
    <w:rsid w:val="006C3E94"/>
    <w:rsid w:val="006E54AB"/>
    <w:rsid w:val="00703D02"/>
    <w:rsid w:val="00773F0B"/>
    <w:rsid w:val="007E14F3"/>
    <w:rsid w:val="00867269"/>
    <w:rsid w:val="00986403"/>
    <w:rsid w:val="00A149C6"/>
    <w:rsid w:val="00A14F65"/>
    <w:rsid w:val="00A2505B"/>
    <w:rsid w:val="00AB25D1"/>
    <w:rsid w:val="00B74D7D"/>
    <w:rsid w:val="00B9577C"/>
    <w:rsid w:val="00BD5031"/>
    <w:rsid w:val="00C34F85"/>
    <w:rsid w:val="00C56BA6"/>
    <w:rsid w:val="00C811E2"/>
    <w:rsid w:val="00D23D8A"/>
    <w:rsid w:val="00D73D31"/>
    <w:rsid w:val="00D93AE1"/>
    <w:rsid w:val="00DB77BB"/>
    <w:rsid w:val="00DC2E86"/>
    <w:rsid w:val="00E843C8"/>
    <w:rsid w:val="00EA754E"/>
    <w:rsid w:val="00EA7BD9"/>
    <w:rsid w:val="00F723DA"/>
    <w:rsid w:val="00F87DFC"/>
    <w:rsid w:val="00FA5081"/>
    <w:rsid w:val="0AAA062F"/>
    <w:rsid w:val="14424F51"/>
    <w:rsid w:val="1AA014A8"/>
    <w:rsid w:val="1AB21B91"/>
    <w:rsid w:val="296F4FC3"/>
    <w:rsid w:val="2AB96010"/>
    <w:rsid w:val="32152DAC"/>
    <w:rsid w:val="42C52BBF"/>
    <w:rsid w:val="4ABD096B"/>
    <w:rsid w:val="5FAD45A5"/>
    <w:rsid w:val="630B6771"/>
    <w:rsid w:val="645F2672"/>
    <w:rsid w:val="649542F5"/>
    <w:rsid w:val="6A493247"/>
    <w:rsid w:val="6F65621F"/>
    <w:rsid w:val="780E49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0"/>
    <w:rPr>
      <w:rFonts w:ascii="宋体" w:hAnsi="Courier New" w:eastAsia="宋体" w:cs="Times New Roman"/>
      <w:szCs w:val="20"/>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u w:val="single"/>
    </w:rPr>
  </w:style>
  <w:style w:type="character" w:customStyle="1" w:styleId="8">
    <w:name w:val="纯文本 Char"/>
    <w:basedOn w:val="6"/>
    <w:link w:val="2"/>
    <w:qFormat/>
    <w:uiPriority w:val="0"/>
    <w:rPr>
      <w:rFonts w:ascii="宋体" w:hAnsi="Courier New" w:eastAsia="宋体" w:cs="Times New Roman"/>
      <w:szCs w:val="20"/>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370</Words>
  <Characters>2114</Characters>
  <Lines>17</Lines>
  <Paragraphs>4</Paragraphs>
  <TotalTime>1</TotalTime>
  <ScaleCrop>false</ScaleCrop>
  <LinksUpToDate>false</LinksUpToDate>
  <CharactersWithSpaces>2480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2021-03-24T02:59:00Z</dcterms:created>
  <dc:creator>HP</dc:creator>
  <cp:lastModifiedBy>Bruce Lee</cp:lastModifiedBy>
  <dcterms:modified xsi:type="dcterms:W3CDTF">2021-12-30T02:19:23Z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0B0BA22822614BFBAEAC240BC3C3142F</vt:lpwstr>
  </property>
</Properties>
</file>