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28"/>
          <w:szCs w:val="28"/>
          <w:lang w:val="en-US" w:eastAsia="zh-CN"/>
        </w:rPr>
      </w:pPr>
      <w:r>
        <w:rPr>
          <w:rFonts w:hint="eastAsia" w:ascii="方正小标宋简体" w:hAnsi="仿宋" w:eastAsia="方正小标宋简体" w:cs="方正仿宋简体"/>
          <w:color w:val="auto"/>
          <w:sz w:val="28"/>
          <w:szCs w:val="28"/>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2"/>
          <w:szCs w:val="32"/>
        </w:rPr>
        <w:t>液压油</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4</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w:t>
      </w:r>
      <w:bookmarkStart w:id="0" w:name="_GoBack"/>
      <w:bookmarkEnd w:id="0"/>
      <w:r>
        <w:rPr>
          <w:rFonts w:hint="eastAsia" w:ascii="宋体" w:hAnsi="宋体"/>
          <w:szCs w:val="21"/>
          <w:highlight w:val="none"/>
        </w:rPr>
        <w:t>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检验项目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693"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835"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1</w:t>
            </w:r>
          </w:p>
        </w:tc>
        <w:tc>
          <w:tcPr>
            <w:tcW w:w="2693" w:type="dxa"/>
            <w:noWrap w:val="0"/>
            <w:vAlign w:val="center"/>
          </w:tcPr>
          <w:p>
            <w:pPr>
              <w:spacing w:line="320" w:lineRule="atLeast"/>
              <w:rPr>
                <w:rFonts w:hint="eastAsia"/>
                <w:sz w:val="18"/>
                <w:szCs w:val="18"/>
              </w:rPr>
            </w:pPr>
            <w:r>
              <w:rPr>
                <w:rFonts w:hint="eastAsia"/>
                <w:sz w:val="18"/>
                <w:szCs w:val="18"/>
              </w:rPr>
              <w:t>运动黏度(40℃)、运动黏度(0℃)</w:t>
            </w:r>
            <w:r>
              <w:rPr>
                <w:rFonts w:hint="eastAsia"/>
                <w:sz w:val="18"/>
                <w:szCs w:val="18"/>
                <w:vertAlign w:val="superscript"/>
              </w:rPr>
              <w:t xml:space="preserve"> </w:t>
            </w:r>
          </w:p>
        </w:tc>
        <w:tc>
          <w:tcPr>
            <w:tcW w:w="2835" w:type="dxa"/>
            <w:vMerge w:val="restart"/>
            <w:noWrap w:val="0"/>
            <w:vAlign w:val="center"/>
          </w:tcPr>
          <w:p>
            <w:pPr>
              <w:snapToGrid w:val="0"/>
              <w:spacing w:line="320" w:lineRule="atLeast"/>
              <w:jc w:val="center"/>
              <w:rPr>
                <w:rFonts w:hint="eastAsia"/>
                <w:sz w:val="18"/>
                <w:szCs w:val="18"/>
              </w:rPr>
            </w:pPr>
            <w:r>
              <w:rPr>
                <w:rFonts w:hint="eastAsia"/>
                <w:sz w:val="18"/>
                <w:szCs w:val="18"/>
              </w:rPr>
              <w:t>GB 11118.1-2011</w:t>
            </w:r>
          </w:p>
          <w:p>
            <w:pPr>
              <w:snapToGrid w:val="0"/>
              <w:spacing w:line="320" w:lineRule="atLeast"/>
              <w:jc w:val="center"/>
              <w:rPr>
                <w:rFonts w:hint="eastAsia"/>
                <w:sz w:val="18"/>
                <w:szCs w:val="18"/>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2</w:t>
            </w:r>
          </w:p>
        </w:tc>
        <w:tc>
          <w:tcPr>
            <w:tcW w:w="2693" w:type="dxa"/>
            <w:noWrap w:val="0"/>
            <w:vAlign w:val="center"/>
          </w:tcPr>
          <w:p>
            <w:pPr>
              <w:spacing w:line="320" w:lineRule="atLeast"/>
              <w:rPr>
                <w:rFonts w:hint="eastAsia"/>
                <w:sz w:val="18"/>
                <w:szCs w:val="18"/>
              </w:rPr>
            </w:pPr>
            <w:r>
              <w:rPr>
                <w:rFonts w:hint="eastAsia"/>
                <w:sz w:val="18"/>
                <w:szCs w:val="18"/>
              </w:rPr>
              <w:t>黏度指数</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1995</w:t>
            </w:r>
            <w:r>
              <w:rPr>
                <w:sz w:val="18"/>
                <w:szCs w:val="18"/>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3</w:t>
            </w:r>
          </w:p>
        </w:tc>
        <w:tc>
          <w:tcPr>
            <w:tcW w:w="2693" w:type="dxa"/>
            <w:noWrap w:val="0"/>
            <w:vAlign w:val="center"/>
          </w:tcPr>
          <w:p>
            <w:pPr>
              <w:spacing w:line="320" w:lineRule="atLeast"/>
              <w:rPr>
                <w:rFonts w:hint="eastAsia" w:eastAsia="宋体"/>
                <w:sz w:val="18"/>
                <w:szCs w:val="18"/>
                <w:lang w:eastAsia="zh-CN"/>
              </w:rPr>
            </w:pPr>
            <w:r>
              <w:rPr>
                <w:rFonts w:hint="eastAsia"/>
                <w:sz w:val="18"/>
                <w:szCs w:val="18"/>
              </w:rPr>
              <w:t>闪点</w:t>
            </w:r>
            <w:r>
              <w:rPr>
                <w:rFonts w:hint="eastAsia"/>
                <w:sz w:val="18"/>
                <w:szCs w:val="18"/>
                <w:lang w:eastAsia="zh-CN"/>
              </w:rPr>
              <w:t>（</w:t>
            </w:r>
            <w:r>
              <w:rPr>
                <w:rFonts w:hint="eastAsia"/>
                <w:sz w:val="18"/>
                <w:szCs w:val="18"/>
                <w:lang w:val="en-US" w:eastAsia="zh-CN"/>
              </w:rPr>
              <w:t>开口</w:t>
            </w:r>
            <w:r>
              <w:rPr>
                <w:rFonts w:hint="eastAsia"/>
                <w:sz w:val="18"/>
                <w:szCs w:val="18"/>
                <w:lang w:eastAsia="zh-CN"/>
              </w:rPr>
              <w:t>）</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4</w:t>
            </w:r>
          </w:p>
        </w:tc>
        <w:tc>
          <w:tcPr>
            <w:tcW w:w="2693" w:type="dxa"/>
            <w:noWrap w:val="0"/>
            <w:vAlign w:val="center"/>
          </w:tcPr>
          <w:p>
            <w:pPr>
              <w:spacing w:line="320" w:lineRule="atLeast"/>
              <w:rPr>
                <w:rFonts w:hint="eastAsia"/>
                <w:sz w:val="18"/>
                <w:szCs w:val="18"/>
              </w:rPr>
            </w:pPr>
            <w:r>
              <w:rPr>
                <w:rFonts w:hint="eastAsia"/>
                <w:sz w:val="18"/>
                <w:szCs w:val="18"/>
              </w:rPr>
              <w:t>倾点</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5</w:t>
            </w:r>
          </w:p>
        </w:tc>
        <w:tc>
          <w:tcPr>
            <w:tcW w:w="2693" w:type="dxa"/>
            <w:noWrap w:val="0"/>
            <w:vAlign w:val="center"/>
          </w:tcPr>
          <w:p>
            <w:pPr>
              <w:spacing w:line="320" w:lineRule="atLeast"/>
              <w:rPr>
                <w:sz w:val="18"/>
                <w:szCs w:val="18"/>
              </w:rPr>
            </w:pPr>
            <w:r>
              <w:rPr>
                <w:rFonts w:hint="eastAsia"/>
                <w:sz w:val="18"/>
                <w:szCs w:val="18"/>
              </w:rPr>
              <w:t>机械杂质</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6</w:t>
            </w:r>
          </w:p>
        </w:tc>
        <w:tc>
          <w:tcPr>
            <w:tcW w:w="2693" w:type="dxa"/>
            <w:noWrap w:val="0"/>
            <w:vAlign w:val="center"/>
          </w:tcPr>
          <w:p>
            <w:pPr>
              <w:spacing w:line="320" w:lineRule="atLeast"/>
              <w:rPr>
                <w:sz w:val="18"/>
                <w:szCs w:val="18"/>
              </w:rPr>
            </w:pPr>
            <w:r>
              <w:rPr>
                <w:rFonts w:hint="eastAsia"/>
                <w:sz w:val="18"/>
                <w:szCs w:val="18"/>
              </w:rPr>
              <w:t>铜片腐蚀（100℃，3h）</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5096</w:t>
            </w:r>
            <w:r>
              <w:rPr>
                <w:sz w:val="18"/>
                <w:szCs w:val="1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7</w:t>
            </w:r>
          </w:p>
        </w:tc>
        <w:tc>
          <w:tcPr>
            <w:tcW w:w="2693" w:type="dxa"/>
            <w:noWrap w:val="0"/>
            <w:vAlign w:val="center"/>
          </w:tcPr>
          <w:p>
            <w:pPr>
              <w:spacing w:line="320" w:lineRule="atLeast"/>
              <w:rPr>
                <w:sz w:val="18"/>
                <w:szCs w:val="18"/>
              </w:rPr>
            </w:pPr>
            <w:r>
              <w:rPr>
                <w:rFonts w:hint="eastAsia"/>
                <w:sz w:val="18"/>
                <w:szCs w:val="18"/>
              </w:rPr>
              <w:t>泡沫性（泡沫倾向/泡沫稳定性）</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12579</w:t>
            </w:r>
            <w:r>
              <w:rPr>
                <w:sz w:val="18"/>
                <w:szCs w:val="18"/>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8</w:t>
            </w:r>
          </w:p>
        </w:tc>
        <w:tc>
          <w:tcPr>
            <w:tcW w:w="2693" w:type="dxa"/>
            <w:noWrap w:val="0"/>
            <w:vAlign w:val="center"/>
          </w:tcPr>
          <w:p>
            <w:pPr>
              <w:spacing w:line="320" w:lineRule="atLeast"/>
              <w:rPr>
                <w:rFonts w:hint="eastAsia"/>
                <w:sz w:val="18"/>
                <w:szCs w:val="18"/>
              </w:rPr>
            </w:pPr>
            <w:r>
              <w:rPr>
                <w:rFonts w:hint="eastAsia"/>
                <w:sz w:val="18"/>
                <w:szCs w:val="18"/>
              </w:rPr>
              <w:t>抗乳化性（乳化液到3mL的时间）</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7305</w:t>
            </w:r>
            <w:r>
              <w:rPr>
                <w:sz w:val="18"/>
                <w:szCs w:val="18"/>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9</w:t>
            </w:r>
          </w:p>
        </w:tc>
        <w:tc>
          <w:tcPr>
            <w:tcW w:w="2693" w:type="dxa"/>
            <w:noWrap w:val="0"/>
            <w:vAlign w:val="center"/>
          </w:tcPr>
          <w:p>
            <w:pPr>
              <w:spacing w:line="320" w:lineRule="atLeast"/>
              <w:rPr>
                <w:sz w:val="18"/>
                <w:szCs w:val="18"/>
              </w:rPr>
            </w:pPr>
            <w:r>
              <w:rPr>
                <w:rFonts w:hint="eastAsia"/>
                <w:sz w:val="18"/>
                <w:szCs w:val="18"/>
              </w:rPr>
              <w:t>液相锈蚀（24h）</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11143-2008</w:t>
            </w:r>
          </w:p>
        </w:tc>
      </w:tr>
    </w:tbl>
    <w:p>
      <w:pPr>
        <w:snapToGrid w:val="0"/>
        <w:spacing w:line="440" w:lineRule="exact"/>
        <w:rPr>
          <w:rFonts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hint="eastAsia" w:ascii="宋体" w:hAnsi="宋体"/>
          <w:szCs w:val="21"/>
        </w:rPr>
      </w:pPr>
      <w:r>
        <w:rPr>
          <w:rFonts w:hint="eastAsia" w:ascii="宋体" w:hAnsi="宋体"/>
          <w:color w:val="000000"/>
          <w:szCs w:val="21"/>
        </w:rPr>
        <w:t>GB 11118.1－2011《液压油(L-HL、L-HM、L-HV、L-HS、L-HG)》</w:t>
      </w:r>
    </w:p>
    <w:p>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359" w:firstLineChars="171"/>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3900595"/>
    <w:rsid w:val="046056FC"/>
    <w:rsid w:val="05E70750"/>
    <w:rsid w:val="05E97167"/>
    <w:rsid w:val="063532A4"/>
    <w:rsid w:val="0E3B23D8"/>
    <w:rsid w:val="1BA619A4"/>
    <w:rsid w:val="22F15084"/>
    <w:rsid w:val="237100E4"/>
    <w:rsid w:val="2A575FC4"/>
    <w:rsid w:val="2B4D4BCC"/>
    <w:rsid w:val="2D5B2AAC"/>
    <w:rsid w:val="2DEB5532"/>
    <w:rsid w:val="2F6A611F"/>
    <w:rsid w:val="32416606"/>
    <w:rsid w:val="326A5F7E"/>
    <w:rsid w:val="33224AE9"/>
    <w:rsid w:val="3EB61F04"/>
    <w:rsid w:val="3F427B10"/>
    <w:rsid w:val="3FAA1801"/>
    <w:rsid w:val="3FDC03A2"/>
    <w:rsid w:val="56310238"/>
    <w:rsid w:val="597A40F4"/>
    <w:rsid w:val="59DE653C"/>
    <w:rsid w:val="6E1E4978"/>
    <w:rsid w:val="73EE518D"/>
    <w:rsid w:val="751E6980"/>
    <w:rsid w:val="764D15B7"/>
    <w:rsid w:val="7F5A4E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Char"/>
    <w:basedOn w:val="6"/>
    <w:link w:val="2"/>
    <w:semiHidden/>
    <w:qFormat/>
    <w:uiPriority w:val="99"/>
    <w:rPr>
      <w:kern w:val="2"/>
      <w:sz w:val="18"/>
      <w:szCs w:val="18"/>
    </w:rPr>
  </w:style>
  <w:style w:type="character" w:customStyle="1" w:styleId="9">
    <w:name w:val="页脚 Char"/>
    <w:basedOn w:val="6"/>
    <w:link w:val="3"/>
    <w:qFormat/>
    <w:uiPriority w:val="99"/>
    <w:rPr>
      <w:kern w:val="2"/>
      <w:sz w:val="18"/>
      <w:szCs w:val="18"/>
    </w:rPr>
  </w:style>
  <w:style w:type="character" w:customStyle="1" w:styleId="10">
    <w:name w:val="页眉 Char"/>
    <w:basedOn w:val="6"/>
    <w:link w:val="4"/>
    <w:semiHidden/>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0</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2021-12-29T03:06:20Z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47FCCCE4738D4B5CB1A9A2EB4C9100A9</vt:lpwstr>
  </property>
</Properties>
</file>