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AAF" w:rsidRDefault="00F223B0">
      <w:pPr>
        <w:snapToGrid w:val="0"/>
        <w:spacing w:line="360" w:lineRule="auto"/>
        <w:jc w:val="left"/>
        <w:rPr>
          <w:rFonts w:ascii="方正小标宋简体" w:eastAsia="方正小标宋简体" w:hAnsi="仿宋" w:cs="方正仿宋简体"/>
          <w:sz w:val="28"/>
          <w:szCs w:val="28"/>
        </w:rPr>
      </w:pPr>
      <w:r>
        <w:rPr>
          <w:rFonts w:ascii="方正小标宋简体" w:eastAsia="方正小标宋简体" w:hAnsi="仿宋" w:cs="方正仿宋简体" w:hint="eastAsia"/>
          <w:sz w:val="28"/>
          <w:szCs w:val="28"/>
        </w:rPr>
        <w:t>附件</w:t>
      </w:r>
      <w:r>
        <w:rPr>
          <w:rFonts w:ascii="方正小标宋简体" w:eastAsia="方正小标宋简体" w:hAnsi="仿宋" w:cs="方正仿宋简体" w:hint="eastAsia"/>
          <w:sz w:val="28"/>
          <w:szCs w:val="28"/>
        </w:rPr>
        <w:t>1</w:t>
      </w:r>
    </w:p>
    <w:p w:rsidR="006B2AAF" w:rsidRDefault="00F223B0">
      <w:pPr>
        <w:snapToGrid w:val="0"/>
        <w:spacing w:line="360" w:lineRule="auto"/>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重庆市中负荷车辆齿轮油产品质量监督抽查实施细则（</w:t>
      </w:r>
      <w:r>
        <w:rPr>
          <w:rFonts w:ascii="方正小标宋简体" w:eastAsia="方正小标宋简体" w:hAnsi="仿宋" w:cs="方正仿宋简体" w:hint="eastAsia"/>
          <w:sz w:val="32"/>
          <w:szCs w:val="32"/>
        </w:rPr>
        <w:t>202</w:t>
      </w:r>
      <w:r>
        <w:rPr>
          <w:rFonts w:ascii="方正小标宋简体" w:eastAsia="方正小标宋简体" w:hAnsi="仿宋" w:cs="方正仿宋简体" w:hint="eastAsia"/>
          <w:sz w:val="32"/>
          <w:szCs w:val="32"/>
        </w:rPr>
        <w:t>2</w:t>
      </w:r>
      <w:r>
        <w:rPr>
          <w:rFonts w:ascii="方正小标宋简体" w:eastAsia="方正小标宋简体" w:hAnsi="仿宋" w:cs="方正仿宋简体" w:hint="eastAsia"/>
          <w:sz w:val="32"/>
          <w:szCs w:val="32"/>
        </w:rPr>
        <w:t>年）</w:t>
      </w:r>
    </w:p>
    <w:p w:rsidR="006B2AAF" w:rsidRDefault="006B2AAF">
      <w:pPr>
        <w:snapToGrid w:val="0"/>
        <w:spacing w:line="440" w:lineRule="exact"/>
        <w:ind w:firstLineChars="171" w:firstLine="359"/>
        <w:rPr>
          <w:rFonts w:ascii="宋体" w:hAnsi="宋体"/>
          <w:szCs w:val="21"/>
        </w:rPr>
      </w:pPr>
    </w:p>
    <w:p w:rsidR="006B2AAF" w:rsidRDefault="00F223B0">
      <w:pPr>
        <w:snapToGrid w:val="0"/>
        <w:spacing w:line="440" w:lineRule="exact"/>
        <w:rPr>
          <w:rFonts w:ascii="黑体" w:eastAsia="黑体" w:hAnsi="宋体"/>
          <w:szCs w:val="21"/>
        </w:rPr>
      </w:pPr>
      <w:r>
        <w:rPr>
          <w:rFonts w:ascii="黑体" w:eastAsia="黑体" w:hAnsi="宋体" w:hint="eastAsia"/>
          <w:szCs w:val="21"/>
        </w:rPr>
        <w:t xml:space="preserve">1 </w:t>
      </w:r>
      <w:r>
        <w:rPr>
          <w:rFonts w:ascii="黑体" w:eastAsia="黑体" w:hAnsi="宋体" w:hint="eastAsia"/>
          <w:szCs w:val="21"/>
        </w:rPr>
        <w:t>抽样方法</w:t>
      </w:r>
    </w:p>
    <w:p w:rsidR="006B2AAF" w:rsidRDefault="00F223B0">
      <w:pPr>
        <w:snapToGrid w:val="0"/>
        <w:spacing w:line="440" w:lineRule="exact"/>
        <w:ind w:firstLineChars="200" w:firstLine="420"/>
        <w:rPr>
          <w:rFonts w:ascii="宋体" w:hAnsi="宋体"/>
          <w:szCs w:val="21"/>
        </w:rPr>
      </w:pPr>
      <w:r>
        <w:rPr>
          <w:rFonts w:ascii="宋体" w:hAnsi="宋体" w:hint="eastAsia"/>
          <w:szCs w:val="21"/>
        </w:rPr>
        <w:t>在生产者、销售者的待销产品中随机抽取有产品质量检验合格证明或者以其他形式表明合格的、近期生产的产品。</w:t>
      </w:r>
    </w:p>
    <w:p w:rsidR="006B2AAF" w:rsidRDefault="00F223B0">
      <w:pPr>
        <w:snapToGrid w:val="0"/>
        <w:spacing w:line="440" w:lineRule="exact"/>
        <w:ind w:firstLineChars="200" w:firstLine="420"/>
        <w:rPr>
          <w:rFonts w:ascii="宋体" w:hAnsi="宋体"/>
          <w:szCs w:val="21"/>
        </w:rPr>
      </w:pPr>
      <w:r>
        <w:rPr>
          <w:rFonts w:ascii="宋体" w:hAnsi="宋体" w:hint="eastAsia"/>
          <w:szCs w:val="21"/>
        </w:rPr>
        <w:t>抽查样品基数满足抽样数量即可。</w:t>
      </w:r>
    </w:p>
    <w:p w:rsidR="006B2AAF" w:rsidRDefault="00F223B0">
      <w:pPr>
        <w:snapToGrid w:val="0"/>
        <w:spacing w:line="440" w:lineRule="exact"/>
        <w:ind w:firstLineChars="200" w:firstLine="420"/>
        <w:rPr>
          <w:rFonts w:ascii="宋体" w:hAnsi="宋体"/>
          <w:szCs w:val="21"/>
        </w:rPr>
      </w:pPr>
      <w:r>
        <w:rPr>
          <w:rFonts w:ascii="宋体" w:hAnsi="宋体" w:hint="eastAsia"/>
          <w:szCs w:val="21"/>
        </w:rPr>
        <w:t>同一生产者按照同一标准生产的同一商标、同一规格型号的产品</w:t>
      </w:r>
      <w:r>
        <w:rPr>
          <w:rFonts w:ascii="宋体" w:hAnsi="宋体" w:hint="eastAsia"/>
          <w:szCs w:val="21"/>
        </w:rPr>
        <w:t>，</w:t>
      </w:r>
      <w:r>
        <w:rPr>
          <w:rFonts w:ascii="宋体" w:hAnsi="宋体" w:hint="eastAsia"/>
          <w:szCs w:val="21"/>
        </w:rPr>
        <w:t>抽取样品总量不少于</w:t>
      </w:r>
      <w:r>
        <w:rPr>
          <w:rFonts w:ascii="宋体" w:hAnsi="宋体" w:hint="eastAsia"/>
          <w:szCs w:val="21"/>
        </w:rPr>
        <w:t>2</w:t>
      </w:r>
      <w:r>
        <w:rPr>
          <w:rFonts w:ascii="宋体" w:hAnsi="宋体" w:hint="eastAsia"/>
          <w:szCs w:val="21"/>
        </w:rPr>
        <w:t>个独立包装，并且总量不少于</w:t>
      </w:r>
      <w:r>
        <w:rPr>
          <w:rFonts w:ascii="宋体" w:hAnsi="宋体" w:hint="eastAsia"/>
          <w:szCs w:val="21"/>
        </w:rPr>
        <w:t>4</w:t>
      </w:r>
      <w:r>
        <w:rPr>
          <w:rFonts w:ascii="宋体" w:hAnsi="宋体" w:hint="eastAsia"/>
          <w:szCs w:val="21"/>
        </w:rPr>
        <w:t>L</w:t>
      </w:r>
      <w:r>
        <w:rPr>
          <w:rFonts w:ascii="宋体" w:hAnsi="宋体" w:hint="eastAsia"/>
          <w:szCs w:val="21"/>
        </w:rPr>
        <w:t>，其中</w:t>
      </w:r>
      <w:r>
        <w:rPr>
          <w:rFonts w:ascii="宋体" w:hAnsi="宋体" w:hint="eastAsia"/>
          <w:szCs w:val="21"/>
        </w:rPr>
        <w:t>1/</w:t>
      </w:r>
      <w:r>
        <w:rPr>
          <w:rFonts w:ascii="宋体" w:hAnsi="宋体" w:hint="eastAsia"/>
          <w:szCs w:val="21"/>
        </w:rPr>
        <w:t>2</w:t>
      </w:r>
      <w:r>
        <w:rPr>
          <w:rFonts w:ascii="宋体" w:hAnsi="宋体" w:hint="eastAsia"/>
          <w:szCs w:val="21"/>
        </w:rPr>
        <w:t>作为检验样品，</w:t>
      </w:r>
      <w:r>
        <w:rPr>
          <w:rFonts w:ascii="宋体" w:hAnsi="宋体" w:hint="eastAsia"/>
          <w:szCs w:val="21"/>
        </w:rPr>
        <w:t>1/</w:t>
      </w:r>
      <w:r>
        <w:rPr>
          <w:rFonts w:ascii="宋体" w:hAnsi="宋体" w:hint="eastAsia"/>
          <w:szCs w:val="21"/>
        </w:rPr>
        <w:t>2</w:t>
      </w:r>
      <w:r>
        <w:rPr>
          <w:rFonts w:ascii="宋体" w:hAnsi="宋体" w:hint="eastAsia"/>
          <w:szCs w:val="21"/>
        </w:rPr>
        <w:t>作为备用样品。</w:t>
      </w:r>
    </w:p>
    <w:p w:rsidR="006B2AAF" w:rsidRDefault="00F223B0">
      <w:pPr>
        <w:snapToGrid w:val="0"/>
        <w:spacing w:line="440" w:lineRule="exact"/>
        <w:ind w:firstLineChars="200" w:firstLine="420"/>
        <w:rPr>
          <w:rFonts w:ascii="宋体" w:hAnsi="宋体"/>
          <w:szCs w:val="21"/>
        </w:rPr>
      </w:pPr>
      <w:r>
        <w:rPr>
          <w:rFonts w:ascii="宋体" w:hAnsi="宋体" w:hint="eastAsia"/>
          <w:szCs w:val="21"/>
        </w:rPr>
        <w:t>随机数抽样，</w:t>
      </w:r>
      <w:r>
        <w:rPr>
          <w:rFonts w:ascii="宋体" w:hAnsi="宋体" w:hint="eastAsia"/>
          <w:szCs w:val="21"/>
        </w:rPr>
        <w:t>随机数一般可使用随机数表、随机数骰子或扑克牌等方法产生。</w:t>
      </w:r>
    </w:p>
    <w:p w:rsidR="006B2AAF" w:rsidRDefault="006B2AAF">
      <w:pPr>
        <w:snapToGrid w:val="0"/>
        <w:spacing w:line="440" w:lineRule="exact"/>
        <w:rPr>
          <w:rFonts w:ascii="宋体" w:hAnsi="宋体"/>
          <w:szCs w:val="21"/>
        </w:rPr>
      </w:pPr>
    </w:p>
    <w:p w:rsidR="006B2AAF" w:rsidRDefault="00F223B0">
      <w:pPr>
        <w:snapToGrid w:val="0"/>
        <w:spacing w:line="440" w:lineRule="exact"/>
        <w:rPr>
          <w:rFonts w:ascii="黑体" w:eastAsia="黑体" w:hAnsi="宋体"/>
          <w:szCs w:val="21"/>
        </w:rPr>
      </w:pPr>
      <w:r>
        <w:rPr>
          <w:rFonts w:ascii="黑体" w:eastAsia="黑体" w:hAnsi="宋体" w:hint="eastAsia"/>
          <w:szCs w:val="21"/>
        </w:rPr>
        <w:t xml:space="preserve">2 </w:t>
      </w:r>
      <w:r>
        <w:rPr>
          <w:rFonts w:ascii="黑体" w:eastAsia="黑体" w:hAnsi="宋体" w:hint="eastAsia"/>
          <w:szCs w:val="21"/>
        </w:rPr>
        <w:t>检验依据</w:t>
      </w:r>
    </w:p>
    <w:p w:rsidR="006B2AAF" w:rsidRDefault="00F223B0">
      <w:pPr>
        <w:snapToGrid w:val="0"/>
        <w:spacing w:line="440" w:lineRule="exact"/>
        <w:jc w:val="center"/>
        <w:rPr>
          <w:rFonts w:ascii="宋体" w:hAnsi="宋体"/>
          <w:szCs w:val="21"/>
        </w:rPr>
      </w:pPr>
      <w:r>
        <w:rPr>
          <w:rFonts w:ascii="宋体" w:hAnsi="宋体" w:hint="eastAsia"/>
          <w:szCs w:val="21"/>
        </w:rPr>
        <w:t>表</w:t>
      </w:r>
      <w:r>
        <w:rPr>
          <w:rFonts w:ascii="宋体" w:hAnsi="宋体" w:hint="eastAsia"/>
          <w:szCs w:val="21"/>
        </w:rPr>
        <w:t xml:space="preserve">1  </w:t>
      </w:r>
      <w:r>
        <w:rPr>
          <w:rFonts w:ascii="宋体" w:hAnsi="宋体" w:hint="eastAsia"/>
          <w:szCs w:val="21"/>
        </w:rPr>
        <w:t>检验项目</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693"/>
        <w:gridCol w:w="2835"/>
        <w:gridCol w:w="2828"/>
      </w:tblGrid>
      <w:tr w:rsidR="006B2AAF">
        <w:tc>
          <w:tcPr>
            <w:tcW w:w="817" w:type="dxa"/>
          </w:tcPr>
          <w:p w:rsidR="006B2AAF" w:rsidRDefault="00F223B0">
            <w:pPr>
              <w:snapToGrid w:val="0"/>
              <w:spacing w:line="440" w:lineRule="exact"/>
              <w:jc w:val="center"/>
              <w:rPr>
                <w:rFonts w:ascii="宋体" w:hAnsi="宋体"/>
                <w:szCs w:val="21"/>
              </w:rPr>
            </w:pPr>
            <w:r>
              <w:rPr>
                <w:rFonts w:ascii="宋体" w:hAnsi="宋体" w:hint="eastAsia"/>
                <w:szCs w:val="21"/>
              </w:rPr>
              <w:t>序号</w:t>
            </w:r>
          </w:p>
        </w:tc>
        <w:tc>
          <w:tcPr>
            <w:tcW w:w="2693" w:type="dxa"/>
          </w:tcPr>
          <w:p w:rsidR="006B2AAF" w:rsidRDefault="00F223B0">
            <w:pPr>
              <w:snapToGrid w:val="0"/>
              <w:spacing w:line="440" w:lineRule="exact"/>
              <w:jc w:val="center"/>
              <w:rPr>
                <w:rFonts w:ascii="宋体" w:hAnsi="宋体"/>
                <w:szCs w:val="21"/>
              </w:rPr>
            </w:pPr>
            <w:r>
              <w:rPr>
                <w:rFonts w:ascii="宋体" w:hAnsi="宋体" w:hint="eastAsia"/>
                <w:szCs w:val="21"/>
              </w:rPr>
              <w:t>检验项目</w:t>
            </w:r>
          </w:p>
        </w:tc>
        <w:tc>
          <w:tcPr>
            <w:tcW w:w="2835" w:type="dxa"/>
          </w:tcPr>
          <w:p w:rsidR="006B2AAF" w:rsidRDefault="00F223B0">
            <w:pPr>
              <w:snapToGrid w:val="0"/>
              <w:spacing w:line="440" w:lineRule="exact"/>
              <w:jc w:val="center"/>
              <w:rPr>
                <w:rFonts w:ascii="宋体" w:hAnsi="宋体"/>
                <w:szCs w:val="21"/>
              </w:rPr>
            </w:pPr>
            <w:r>
              <w:rPr>
                <w:rFonts w:ascii="宋体" w:hAnsi="宋体" w:hint="eastAsia"/>
                <w:szCs w:val="21"/>
              </w:rPr>
              <w:t>判定依据</w:t>
            </w:r>
          </w:p>
        </w:tc>
        <w:tc>
          <w:tcPr>
            <w:tcW w:w="2828" w:type="dxa"/>
          </w:tcPr>
          <w:p w:rsidR="006B2AAF" w:rsidRDefault="00F223B0">
            <w:pPr>
              <w:snapToGrid w:val="0"/>
              <w:spacing w:line="440" w:lineRule="exact"/>
              <w:jc w:val="center"/>
              <w:rPr>
                <w:rFonts w:ascii="宋体" w:hAnsi="宋体"/>
                <w:szCs w:val="21"/>
              </w:rPr>
            </w:pPr>
            <w:r>
              <w:rPr>
                <w:rFonts w:ascii="宋体" w:hAnsi="宋体" w:hint="eastAsia"/>
                <w:szCs w:val="21"/>
              </w:rPr>
              <w:t>检验方法</w:t>
            </w:r>
          </w:p>
        </w:tc>
      </w:tr>
      <w:tr w:rsidR="006B2AAF">
        <w:tc>
          <w:tcPr>
            <w:tcW w:w="817" w:type="dxa"/>
            <w:vAlign w:val="center"/>
          </w:tcPr>
          <w:p w:rsidR="006B2AAF" w:rsidRDefault="00F223B0">
            <w:pPr>
              <w:snapToGrid w:val="0"/>
              <w:spacing w:line="340" w:lineRule="atLeast"/>
              <w:jc w:val="center"/>
              <w:rPr>
                <w:sz w:val="18"/>
                <w:szCs w:val="18"/>
              </w:rPr>
            </w:pPr>
            <w:r>
              <w:rPr>
                <w:rFonts w:hint="eastAsia"/>
                <w:sz w:val="18"/>
                <w:szCs w:val="18"/>
              </w:rPr>
              <w:t>1</w:t>
            </w:r>
          </w:p>
        </w:tc>
        <w:tc>
          <w:tcPr>
            <w:tcW w:w="2693" w:type="dxa"/>
          </w:tcPr>
          <w:p w:rsidR="006B2AAF" w:rsidRDefault="00F223B0">
            <w:pPr>
              <w:spacing w:line="340" w:lineRule="atLeast"/>
              <w:rPr>
                <w:sz w:val="18"/>
                <w:szCs w:val="18"/>
              </w:rPr>
            </w:pPr>
            <w:r>
              <w:rPr>
                <w:rFonts w:hint="eastAsia"/>
                <w:sz w:val="18"/>
                <w:szCs w:val="18"/>
              </w:rPr>
              <w:t>运动黏度</w:t>
            </w:r>
            <w:r>
              <w:rPr>
                <w:rFonts w:hint="eastAsia"/>
                <w:sz w:val="18"/>
                <w:szCs w:val="18"/>
              </w:rPr>
              <w:t>(100</w:t>
            </w:r>
            <w:r>
              <w:rPr>
                <w:rFonts w:hint="eastAsia"/>
                <w:sz w:val="18"/>
                <w:szCs w:val="18"/>
              </w:rPr>
              <w:t>℃</w:t>
            </w:r>
            <w:r>
              <w:rPr>
                <w:rFonts w:hint="eastAsia"/>
                <w:sz w:val="18"/>
                <w:szCs w:val="18"/>
              </w:rPr>
              <w:t>)</w:t>
            </w:r>
          </w:p>
        </w:tc>
        <w:tc>
          <w:tcPr>
            <w:tcW w:w="2835" w:type="dxa"/>
            <w:vMerge w:val="restart"/>
            <w:vAlign w:val="center"/>
          </w:tcPr>
          <w:p w:rsidR="006B2AAF" w:rsidRDefault="00F223B0">
            <w:pPr>
              <w:spacing w:line="340" w:lineRule="atLeast"/>
              <w:jc w:val="center"/>
              <w:rPr>
                <w:sz w:val="18"/>
                <w:szCs w:val="18"/>
              </w:rPr>
            </w:pPr>
            <w:r>
              <w:rPr>
                <w:rFonts w:hint="eastAsia"/>
                <w:sz w:val="18"/>
                <w:szCs w:val="18"/>
              </w:rPr>
              <w:t>JT/T 224</w:t>
            </w:r>
            <w:r>
              <w:rPr>
                <w:sz w:val="18"/>
                <w:szCs w:val="18"/>
              </w:rPr>
              <w:t>-2008</w:t>
            </w:r>
            <w:r>
              <w:rPr>
                <w:rFonts w:hint="eastAsia"/>
                <w:sz w:val="18"/>
                <w:szCs w:val="18"/>
              </w:rPr>
              <w:t xml:space="preserve">  </w:t>
            </w:r>
          </w:p>
          <w:p w:rsidR="006B2AAF" w:rsidRDefault="006B2AAF">
            <w:pPr>
              <w:snapToGrid w:val="0"/>
              <w:spacing w:line="320" w:lineRule="atLeast"/>
              <w:jc w:val="center"/>
              <w:rPr>
                <w:sz w:val="18"/>
                <w:szCs w:val="18"/>
              </w:rPr>
            </w:pPr>
          </w:p>
        </w:tc>
        <w:tc>
          <w:tcPr>
            <w:tcW w:w="2828" w:type="dxa"/>
            <w:vAlign w:val="center"/>
          </w:tcPr>
          <w:p w:rsidR="006B2AAF" w:rsidRDefault="00F223B0">
            <w:pPr>
              <w:snapToGrid w:val="0"/>
              <w:spacing w:line="340" w:lineRule="atLeast"/>
              <w:jc w:val="center"/>
              <w:rPr>
                <w:sz w:val="18"/>
                <w:szCs w:val="18"/>
              </w:rPr>
            </w:pPr>
            <w:r>
              <w:rPr>
                <w:rFonts w:hint="eastAsia"/>
                <w:sz w:val="18"/>
                <w:szCs w:val="18"/>
              </w:rPr>
              <w:t>GB/T 265</w:t>
            </w:r>
            <w:r>
              <w:rPr>
                <w:sz w:val="18"/>
                <w:szCs w:val="18"/>
              </w:rPr>
              <w:t>-1988</w:t>
            </w:r>
          </w:p>
        </w:tc>
      </w:tr>
      <w:tr w:rsidR="006B2AAF">
        <w:tc>
          <w:tcPr>
            <w:tcW w:w="817" w:type="dxa"/>
            <w:vAlign w:val="center"/>
          </w:tcPr>
          <w:p w:rsidR="006B2AAF" w:rsidRDefault="00F223B0">
            <w:pPr>
              <w:snapToGrid w:val="0"/>
              <w:spacing w:line="340" w:lineRule="atLeast"/>
              <w:jc w:val="center"/>
              <w:rPr>
                <w:sz w:val="18"/>
                <w:szCs w:val="18"/>
              </w:rPr>
            </w:pPr>
            <w:r>
              <w:rPr>
                <w:rFonts w:hint="eastAsia"/>
                <w:sz w:val="18"/>
                <w:szCs w:val="18"/>
              </w:rPr>
              <w:t>2</w:t>
            </w:r>
          </w:p>
        </w:tc>
        <w:tc>
          <w:tcPr>
            <w:tcW w:w="2693" w:type="dxa"/>
          </w:tcPr>
          <w:p w:rsidR="006B2AAF" w:rsidRDefault="00F223B0">
            <w:pPr>
              <w:spacing w:line="340" w:lineRule="atLeast"/>
              <w:rPr>
                <w:sz w:val="18"/>
                <w:szCs w:val="18"/>
              </w:rPr>
            </w:pPr>
            <w:r>
              <w:rPr>
                <w:rFonts w:hint="eastAsia"/>
                <w:sz w:val="18"/>
                <w:szCs w:val="18"/>
              </w:rPr>
              <w:t>黏度指数</w:t>
            </w:r>
          </w:p>
        </w:tc>
        <w:tc>
          <w:tcPr>
            <w:tcW w:w="2835" w:type="dxa"/>
            <w:vMerge/>
            <w:vAlign w:val="center"/>
          </w:tcPr>
          <w:p w:rsidR="006B2AAF" w:rsidRDefault="006B2AAF">
            <w:pPr>
              <w:snapToGrid w:val="0"/>
              <w:spacing w:line="320" w:lineRule="atLeast"/>
              <w:jc w:val="center"/>
              <w:rPr>
                <w:rFonts w:ascii="宋体" w:hAnsi="宋体"/>
                <w:szCs w:val="21"/>
              </w:rPr>
            </w:pPr>
          </w:p>
        </w:tc>
        <w:tc>
          <w:tcPr>
            <w:tcW w:w="2828" w:type="dxa"/>
            <w:vAlign w:val="center"/>
          </w:tcPr>
          <w:p w:rsidR="006B2AAF" w:rsidRDefault="00F223B0">
            <w:pPr>
              <w:snapToGrid w:val="0"/>
              <w:spacing w:line="340" w:lineRule="atLeast"/>
              <w:jc w:val="center"/>
              <w:rPr>
                <w:sz w:val="18"/>
                <w:szCs w:val="18"/>
              </w:rPr>
            </w:pPr>
            <w:r>
              <w:rPr>
                <w:rFonts w:hint="eastAsia"/>
                <w:sz w:val="18"/>
                <w:szCs w:val="18"/>
              </w:rPr>
              <w:t>GB/T 2541</w:t>
            </w:r>
            <w:r>
              <w:rPr>
                <w:sz w:val="18"/>
                <w:szCs w:val="18"/>
              </w:rPr>
              <w:t>-1981</w:t>
            </w:r>
          </w:p>
        </w:tc>
      </w:tr>
      <w:tr w:rsidR="006B2AAF">
        <w:tc>
          <w:tcPr>
            <w:tcW w:w="817" w:type="dxa"/>
            <w:vAlign w:val="center"/>
          </w:tcPr>
          <w:p w:rsidR="006B2AAF" w:rsidRDefault="00F223B0">
            <w:pPr>
              <w:snapToGrid w:val="0"/>
              <w:spacing w:line="340" w:lineRule="atLeast"/>
              <w:jc w:val="center"/>
              <w:rPr>
                <w:sz w:val="18"/>
                <w:szCs w:val="18"/>
              </w:rPr>
            </w:pPr>
            <w:r>
              <w:rPr>
                <w:sz w:val="18"/>
                <w:szCs w:val="18"/>
              </w:rPr>
              <w:t>3</w:t>
            </w:r>
          </w:p>
        </w:tc>
        <w:tc>
          <w:tcPr>
            <w:tcW w:w="2693" w:type="dxa"/>
          </w:tcPr>
          <w:p w:rsidR="006B2AAF" w:rsidRDefault="00F223B0">
            <w:pPr>
              <w:spacing w:line="340" w:lineRule="atLeast"/>
              <w:rPr>
                <w:sz w:val="18"/>
                <w:szCs w:val="18"/>
              </w:rPr>
            </w:pPr>
            <w:r>
              <w:rPr>
                <w:rFonts w:hint="eastAsia"/>
                <w:sz w:val="18"/>
                <w:szCs w:val="18"/>
              </w:rPr>
              <w:t>闪点（开口）</w:t>
            </w:r>
          </w:p>
        </w:tc>
        <w:tc>
          <w:tcPr>
            <w:tcW w:w="2835" w:type="dxa"/>
            <w:vMerge/>
            <w:vAlign w:val="center"/>
          </w:tcPr>
          <w:p w:rsidR="006B2AAF" w:rsidRDefault="006B2AAF">
            <w:pPr>
              <w:snapToGrid w:val="0"/>
              <w:spacing w:line="320" w:lineRule="atLeast"/>
              <w:jc w:val="center"/>
              <w:rPr>
                <w:rFonts w:ascii="宋体" w:hAnsi="宋体"/>
                <w:szCs w:val="21"/>
              </w:rPr>
            </w:pPr>
          </w:p>
        </w:tc>
        <w:tc>
          <w:tcPr>
            <w:tcW w:w="2828" w:type="dxa"/>
            <w:vAlign w:val="center"/>
          </w:tcPr>
          <w:p w:rsidR="006B2AAF" w:rsidRDefault="00F223B0">
            <w:pPr>
              <w:snapToGrid w:val="0"/>
              <w:spacing w:line="340" w:lineRule="atLeast"/>
              <w:jc w:val="center"/>
              <w:rPr>
                <w:sz w:val="18"/>
                <w:szCs w:val="18"/>
              </w:rPr>
            </w:pPr>
            <w:r>
              <w:rPr>
                <w:rFonts w:hint="eastAsia"/>
                <w:sz w:val="18"/>
                <w:szCs w:val="18"/>
              </w:rPr>
              <w:t>GB/T 267</w:t>
            </w:r>
            <w:r>
              <w:rPr>
                <w:sz w:val="18"/>
                <w:szCs w:val="18"/>
              </w:rPr>
              <w:t>-1988</w:t>
            </w:r>
          </w:p>
        </w:tc>
      </w:tr>
      <w:tr w:rsidR="006B2AAF">
        <w:tc>
          <w:tcPr>
            <w:tcW w:w="817" w:type="dxa"/>
            <w:vAlign w:val="center"/>
          </w:tcPr>
          <w:p w:rsidR="006B2AAF" w:rsidRDefault="00F223B0">
            <w:pPr>
              <w:snapToGrid w:val="0"/>
              <w:spacing w:line="340" w:lineRule="atLeast"/>
              <w:jc w:val="center"/>
              <w:rPr>
                <w:sz w:val="18"/>
                <w:szCs w:val="18"/>
              </w:rPr>
            </w:pPr>
            <w:r>
              <w:rPr>
                <w:sz w:val="18"/>
                <w:szCs w:val="18"/>
              </w:rPr>
              <w:t>4</w:t>
            </w:r>
          </w:p>
        </w:tc>
        <w:tc>
          <w:tcPr>
            <w:tcW w:w="2693" w:type="dxa"/>
          </w:tcPr>
          <w:p w:rsidR="006B2AAF" w:rsidRDefault="00F223B0">
            <w:pPr>
              <w:spacing w:line="340" w:lineRule="atLeast"/>
              <w:rPr>
                <w:sz w:val="18"/>
                <w:szCs w:val="18"/>
              </w:rPr>
            </w:pPr>
            <w:r>
              <w:rPr>
                <w:rFonts w:hint="eastAsia"/>
                <w:sz w:val="18"/>
                <w:szCs w:val="18"/>
              </w:rPr>
              <w:t>倾点</w:t>
            </w:r>
          </w:p>
        </w:tc>
        <w:tc>
          <w:tcPr>
            <w:tcW w:w="2835" w:type="dxa"/>
            <w:vMerge/>
            <w:vAlign w:val="center"/>
          </w:tcPr>
          <w:p w:rsidR="006B2AAF" w:rsidRDefault="006B2AAF">
            <w:pPr>
              <w:snapToGrid w:val="0"/>
              <w:spacing w:line="320" w:lineRule="atLeast"/>
              <w:jc w:val="center"/>
              <w:rPr>
                <w:rFonts w:ascii="宋体" w:hAnsi="宋体"/>
                <w:szCs w:val="21"/>
              </w:rPr>
            </w:pPr>
          </w:p>
        </w:tc>
        <w:tc>
          <w:tcPr>
            <w:tcW w:w="2828" w:type="dxa"/>
            <w:vAlign w:val="center"/>
          </w:tcPr>
          <w:p w:rsidR="006B2AAF" w:rsidRDefault="00F223B0">
            <w:pPr>
              <w:snapToGrid w:val="0"/>
              <w:spacing w:line="340" w:lineRule="atLeast"/>
              <w:jc w:val="center"/>
              <w:rPr>
                <w:sz w:val="18"/>
                <w:szCs w:val="18"/>
              </w:rPr>
            </w:pPr>
            <w:r>
              <w:rPr>
                <w:rFonts w:hint="eastAsia"/>
                <w:sz w:val="18"/>
                <w:szCs w:val="18"/>
              </w:rPr>
              <w:t>GB/T 3535</w:t>
            </w:r>
            <w:r>
              <w:rPr>
                <w:sz w:val="18"/>
                <w:szCs w:val="18"/>
              </w:rPr>
              <w:t>-2006</w:t>
            </w:r>
          </w:p>
        </w:tc>
      </w:tr>
      <w:tr w:rsidR="006B2AAF">
        <w:tc>
          <w:tcPr>
            <w:tcW w:w="817" w:type="dxa"/>
            <w:vAlign w:val="center"/>
          </w:tcPr>
          <w:p w:rsidR="006B2AAF" w:rsidRDefault="00F223B0">
            <w:pPr>
              <w:snapToGrid w:val="0"/>
              <w:spacing w:line="340" w:lineRule="atLeast"/>
              <w:jc w:val="center"/>
              <w:rPr>
                <w:sz w:val="18"/>
                <w:szCs w:val="18"/>
              </w:rPr>
            </w:pPr>
            <w:r>
              <w:rPr>
                <w:sz w:val="18"/>
                <w:szCs w:val="18"/>
              </w:rPr>
              <w:t>5</w:t>
            </w:r>
          </w:p>
        </w:tc>
        <w:tc>
          <w:tcPr>
            <w:tcW w:w="2693" w:type="dxa"/>
          </w:tcPr>
          <w:p w:rsidR="006B2AAF" w:rsidRDefault="00F223B0">
            <w:pPr>
              <w:spacing w:line="340" w:lineRule="atLeast"/>
              <w:rPr>
                <w:sz w:val="18"/>
                <w:szCs w:val="18"/>
              </w:rPr>
            </w:pPr>
            <w:r>
              <w:rPr>
                <w:rFonts w:hint="eastAsia"/>
                <w:sz w:val="18"/>
                <w:szCs w:val="18"/>
              </w:rPr>
              <w:t>机械杂质</w:t>
            </w:r>
          </w:p>
        </w:tc>
        <w:tc>
          <w:tcPr>
            <w:tcW w:w="2835" w:type="dxa"/>
            <w:vMerge/>
            <w:vAlign w:val="center"/>
          </w:tcPr>
          <w:p w:rsidR="006B2AAF" w:rsidRDefault="006B2AAF">
            <w:pPr>
              <w:snapToGrid w:val="0"/>
              <w:spacing w:line="320" w:lineRule="atLeast"/>
              <w:jc w:val="center"/>
              <w:rPr>
                <w:rFonts w:ascii="宋体" w:hAnsi="宋体"/>
                <w:szCs w:val="21"/>
              </w:rPr>
            </w:pPr>
          </w:p>
        </w:tc>
        <w:tc>
          <w:tcPr>
            <w:tcW w:w="2828" w:type="dxa"/>
            <w:vAlign w:val="center"/>
          </w:tcPr>
          <w:p w:rsidR="006B2AAF" w:rsidRDefault="00F223B0">
            <w:pPr>
              <w:snapToGrid w:val="0"/>
              <w:spacing w:line="340" w:lineRule="atLeast"/>
              <w:jc w:val="center"/>
              <w:rPr>
                <w:sz w:val="18"/>
                <w:szCs w:val="18"/>
              </w:rPr>
            </w:pPr>
            <w:r>
              <w:rPr>
                <w:rFonts w:hint="eastAsia"/>
                <w:sz w:val="18"/>
                <w:szCs w:val="18"/>
              </w:rPr>
              <w:t>GB/T 511</w:t>
            </w:r>
            <w:r>
              <w:rPr>
                <w:sz w:val="18"/>
                <w:szCs w:val="18"/>
              </w:rPr>
              <w:t>-2010</w:t>
            </w:r>
          </w:p>
        </w:tc>
      </w:tr>
      <w:tr w:rsidR="006B2AAF">
        <w:tc>
          <w:tcPr>
            <w:tcW w:w="817" w:type="dxa"/>
            <w:vAlign w:val="center"/>
          </w:tcPr>
          <w:p w:rsidR="006B2AAF" w:rsidRDefault="00F223B0">
            <w:pPr>
              <w:snapToGrid w:val="0"/>
              <w:spacing w:line="340" w:lineRule="atLeast"/>
              <w:jc w:val="center"/>
              <w:rPr>
                <w:sz w:val="18"/>
                <w:szCs w:val="18"/>
              </w:rPr>
            </w:pPr>
            <w:r>
              <w:rPr>
                <w:rFonts w:hint="eastAsia"/>
                <w:sz w:val="18"/>
                <w:szCs w:val="18"/>
              </w:rPr>
              <w:t>6</w:t>
            </w:r>
          </w:p>
        </w:tc>
        <w:tc>
          <w:tcPr>
            <w:tcW w:w="2693" w:type="dxa"/>
          </w:tcPr>
          <w:p w:rsidR="006B2AAF" w:rsidRDefault="00F223B0">
            <w:pPr>
              <w:spacing w:line="340" w:lineRule="atLeast"/>
              <w:rPr>
                <w:sz w:val="18"/>
                <w:szCs w:val="18"/>
              </w:rPr>
            </w:pPr>
            <w:r>
              <w:rPr>
                <w:rFonts w:hint="eastAsia"/>
                <w:sz w:val="18"/>
                <w:szCs w:val="18"/>
              </w:rPr>
              <w:t>铜片腐蚀</w:t>
            </w:r>
            <w:r>
              <w:rPr>
                <w:rFonts w:hint="eastAsia"/>
                <w:sz w:val="18"/>
                <w:szCs w:val="18"/>
              </w:rPr>
              <w:t>(121</w:t>
            </w:r>
            <w:r>
              <w:rPr>
                <w:rFonts w:hint="eastAsia"/>
                <w:sz w:val="18"/>
                <w:szCs w:val="18"/>
              </w:rPr>
              <w:t>℃</w:t>
            </w:r>
            <w:r>
              <w:rPr>
                <w:rFonts w:hint="eastAsia"/>
                <w:sz w:val="18"/>
                <w:szCs w:val="18"/>
              </w:rPr>
              <w:t>,3h)</w:t>
            </w:r>
          </w:p>
        </w:tc>
        <w:tc>
          <w:tcPr>
            <w:tcW w:w="2835" w:type="dxa"/>
            <w:vMerge/>
          </w:tcPr>
          <w:p w:rsidR="006B2AAF" w:rsidRDefault="006B2AAF">
            <w:pPr>
              <w:snapToGrid w:val="0"/>
              <w:spacing w:line="320" w:lineRule="atLeast"/>
              <w:jc w:val="center"/>
              <w:rPr>
                <w:rFonts w:ascii="宋体" w:hAnsi="宋体"/>
                <w:szCs w:val="21"/>
              </w:rPr>
            </w:pPr>
          </w:p>
        </w:tc>
        <w:tc>
          <w:tcPr>
            <w:tcW w:w="2828" w:type="dxa"/>
            <w:vAlign w:val="center"/>
          </w:tcPr>
          <w:p w:rsidR="006B2AAF" w:rsidRDefault="00F223B0">
            <w:pPr>
              <w:snapToGrid w:val="0"/>
              <w:spacing w:line="340" w:lineRule="atLeast"/>
              <w:jc w:val="center"/>
              <w:rPr>
                <w:sz w:val="18"/>
                <w:szCs w:val="18"/>
              </w:rPr>
            </w:pPr>
            <w:r>
              <w:rPr>
                <w:rFonts w:hint="eastAsia"/>
                <w:sz w:val="18"/>
                <w:szCs w:val="18"/>
              </w:rPr>
              <w:t>GB/T 5096</w:t>
            </w:r>
            <w:r>
              <w:rPr>
                <w:sz w:val="18"/>
                <w:szCs w:val="18"/>
              </w:rPr>
              <w:t>-2017</w:t>
            </w:r>
          </w:p>
        </w:tc>
      </w:tr>
      <w:tr w:rsidR="006B2AAF">
        <w:tc>
          <w:tcPr>
            <w:tcW w:w="817" w:type="dxa"/>
            <w:vAlign w:val="center"/>
          </w:tcPr>
          <w:p w:rsidR="006B2AAF" w:rsidRDefault="00F223B0">
            <w:pPr>
              <w:snapToGrid w:val="0"/>
              <w:spacing w:line="340" w:lineRule="atLeast"/>
              <w:jc w:val="center"/>
              <w:rPr>
                <w:sz w:val="18"/>
                <w:szCs w:val="18"/>
              </w:rPr>
            </w:pPr>
            <w:r>
              <w:rPr>
                <w:rFonts w:hint="eastAsia"/>
                <w:sz w:val="18"/>
                <w:szCs w:val="18"/>
              </w:rPr>
              <w:t>7</w:t>
            </w:r>
          </w:p>
        </w:tc>
        <w:tc>
          <w:tcPr>
            <w:tcW w:w="2693" w:type="dxa"/>
          </w:tcPr>
          <w:p w:rsidR="006B2AAF" w:rsidRDefault="00F223B0">
            <w:pPr>
              <w:spacing w:line="340" w:lineRule="atLeast"/>
              <w:rPr>
                <w:sz w:val="18"/>
                <w:szCs w:val="18"/>
              </w:rPr>
            </w:pPr>
            <w:r>
              <w:rPr>
                <w:rFonts w:hint="eastAsia"/>
                <w:sz w:val="18"/>
                <w:szCs w:val="18"/>
              </w:rPr>
              <w:t>泡沫倾向性</w:t>
            </w:r>
            <w:r>
              <w:rPr>
                <w:rFonts w:hint="eastAsia"/>
                <w:sz w:val="18"/>
                <w:szCs w:val="18"/>
              </w:rPr>
              <w:t>/</w:t>
            </w:r>
            <w:r>
              <w:rPr>
                <w:rFonts w:hint="eastAsia"/>
                <w:sz w:val="18"/>
                <w:szCs w:val="18"/>
              </w:rPr>
              <w:t>泡沫稳定性</w:t>
            </w:r>
          </w:p>
        </w:tc>
        <w:tc>
          <w:tcPr>
            <w:tcW w:w="2835" w:type="dxa"/>
            <w:vMerge/>
          </w:tcPr>
          <w:p w:rsidR="006B2AAF" w:rsidRDefault="006B2AAF">
            <w:pPr>
              <w:snapToGrid w:val="0"/>
              <w:spacing w:line="320" w:lineRule="atLeast"/>
              <w:jc w:val="center"/>
              <w:rPr>
                <w:rFonts w:ascii="宋体" w:hAnsi="宋体"/>
                <w:szCs w:val="21"/>
              </w:rPr>
            </w:pPr>
          </w:p>
        </w:tc>
        <w:tc>
          <w:tcPr>
            <w:tcW w:w="2828" w:type="dxa"/>
            <w:vAlign w:val="center"/>
          </w:tcPr>
          <w:p w:rsidR="006B2AAF" w:rsidRDefault="00F223B0">
            <w:pPr>
              <w:snapToGrid w:val="0"/>
              <w:spacing w:line="340" w:lineRule="atLeast"/>
              <w:jc w:val="center"/>
              <w:rPr>
                <w:sz w:val="18"/>
                <w:szCs w:val="18"/>
              </w:rPr>
            </w:pPr>
            <w:r>
              <w:rPr>
                <w:rFonts w:hint="eastAsia"/>
                <w:sz w:val="18"/>
                <w:szCs w:val="18"/>
              </w:rPr>
              <w:t>GB/T 12579</w:t>
            </w:r>
            <w:r>
              <w:rPr>
                <w:sz w:val="18"/>
                <w:szCs w:val="18"/>
              </w:rPr>
              <w:t>-2002</w:t>
            </w:r>
          </w:p>
        </w:tc>
      </w:tr>
      <w:tr w:rsidR="006B2AAF">
        <w:tc>
          <w:tcPr>
            <w:tcW w:w="817" w:type="dxa"/>
            <w:vAlign w:val="center"/>
          </w:tcPr>
          <w:p w:rsidR="006B2AAF" w:rsidRDefault="00F223B0">
            <w:pPr>
              <w:snapToGrid w:val="0"/>
              <w:spacing w:line="340" w:lineRule="atLeast"/>
              <w:jc w:val="center"/>
              <w:rPr>
                <w:sz w:val="18"/>
                <w:szCs w:val="18"/>
              </w:rPr>
            </w:pPr>
            <w:r>
              <w:rPr>
                <w:rFonts w:hint="eastAsia"/>
                <w:sz w:val="18"/>
                <w:szCs w:val="18"/>
              </w:rPr>
              <w:t>8</w:t>
            </w:r>
          </w:p>
        </w:tc>
        <w:tc>
          <w:tcPr>
            <w:tcW w:w="2693" w:type="dxa"/>
          </w:tcPr>
          <w:p w:rsidR="006B2AAF" w:rsidRDefault="00F223B0">
            <w:pPr>
              <w:spacing w:line="340" w:lineRule="atLeast"/>
              <w:rPr>
                <w:sz w:val="18"/>
                <w:szCs w:val="18"/>
              </w:rPr>
            </w:pPr>
            <w:r>
              <w:rPr>
                <w:rFonts w:hint="eastAsia"/>
                <w:sz w:val="18"/>
                <w:szCs w:val="18"/>
              </w:rPr>
              <w:t>锈蚀实验（</w:t>
            </w:r>
            <w:r>
              <w:rPr>
                <w:rFonts w:hint="eastAsia"/>
                <w:sz w:val="18"/>
                <w:szCs w:val="18"/>
              </w:rPr>
              <w:t>15</w:t>
            </w:r>
            <w:r>
              <w:rPr>
                <w:rFonts w:hint="eastAsia"/>
                <w:sz w:val="18"/>
                <w:szCs w:val="18"/>
              </w:rPr>
              <w:t>号钢棒）</w:t>
            </w:r>
          </w:p>
        </w:tc>
        <w:tc>
          <w:tcPr>
            <w:tcW w:w="2835" w:type="dxa"/>
            <w:vMerge/>
          </w:tcPr>
          <w:p w:rsidR="006B2AAF" w:rsidRDefault="006B2AAF">
            <w:pPr>
              <w:snapToGrid w:val="0"/>
              <w:spacing w:line="320" w:lineRule="atLeast"/>
              <w:jc w:val="center"/>
              <w:rPr>
                <w:rFonts w:ascii="宋体" w:hAnsi="宋体"/>
                <w:szCs w:val="21"/>
              </w:rPr>
            </w:pPr>
          </w:p>
        </w:tc>
        <w:tc>
          <w:tcPr>
            <w:tcW w:w="2828" w:type="dxa"/>
            <w:vAlign w:val="center"/>
          </w:tcPr>
          <w:p w:rsidR="006B2AAF" w:rsidRDefault="00F223B0">
            <w:pPr>
              <w:snapToGrid w:val="0"/>
              <w:spacing w:line="340" w:lineRule="atLeast"/>
              <w:jc w:val="center"/>
              <w:rPr>
                <w:sz w:val="18"/>
                <w:szCs w:val="18"/>
              </w:rPr>
            </w:pPr>
            <w:r>
              <w:rPr>
                <w:rFonts w:hint="eastAsia"/>
                <w:sz w:val="18"/>
                <w:szCs w:val="18"/>
              </w:rPr>
              <w:t>GB/T 11143-2008</w:t>
            </w:r>
            <w:r>
              <w:rPr>
                <w:rFonts w:hint="eastAsia"/>
                <w:sz w:val="18"/>
                <w:szCs w:val="18"/>
              </w:rPr>
              <w:t>（</w:t>
            </w:r>
            <w:r>
              <w:rPr>
                <w:rFonts w:hint="eastAsia"/>
                <w:sz w:val="18"/>
                <w:szCs w:val="18"/>
              </w:rPr>
              <w:t>A</w:t>
            </w:r>
            <w:r>
              <w:rPr>
                <w:rFonts w:hint="eastAsia"/>
                <w:sz w:val="18"/>
                <w:szCs w:val="18"/>
              </w:rPr>
              <w:t>法）</w:t>
            </w:r>
          </w:p>
        </w:tc>
      </w:tr>
    </w:tbl>
    <w:p w:rsidR="006B2AAF" w:rsidRDefault="006B2AAF">
      <w:pPr>
        <w:snapToGrid w:val="0"/>
        <w:spacing w:line="440" w:lineRule="exact"/>
        <w:rPr>
          <w:rFonts w:ascii="宋体" w:hAnsi="宋体"/>
          <w:szCs w:val="21"/>
        </w:rPr>
      </w:pPr>
    </w:p>
    <w:p w:rsidR="006B2AAF" w:rsidRDefault="00F223B0">
      <w:pPr>
        <w:spacing w:line="360" w:lineRule="auto"/>
        <w:rPr>
          <w:rFonts w:ascii="黑体" w:eastAsia="黑体" w:hAnsi="黑体"/>
          <w:szCs w:val="21"/>
        </w:rPr>
      </w:pPr>
      <w:r>
        <w:rPr>
          <w:rFonts w:ascii="黑体" w:eastAsia="黑体" w:hAnsi="黑体" w:hint="eastAsia"/>
          <w:szCs w:val="21"/>
        </w:rPr>
        <w:t xml:space="preserve">3 </w:t>
      </w:r>
      <w:r>
        <w:rPr>
          <w:rFonts w:ascii="黑体" w:eastAsia="黑体" w:hAnsi="黑体" w:hint="eastAsia"/>
          <w:szCs w:val="21"/>
        </w:rPr>
        <w:t>判定规则</w:t>
      </w:r>
    </w:p>
    <w:p w:rsidR="006B2AAF" w:rsidRDefault="00F223B0">
      <w:pPr>
        <w:snapToGrid w:val="0"/>
        <w:spacing w:line="440" w:lineRule="exact"/>
        <w:rPr>
          <w:rFonts w:ascii="宋体" w:hAnsi="宋体"/>
          <w:szCs w:val="21"/>
        </w:rPr>
      </w:pPr>
      <w:r>
        <w:rPr>
          <w:rFonts w:ascii="宋体" w:hAnsi="宋体" w:hint="eastAsia"/>
          <w:szCs w:val="21"/>
        </w:rPr>
        <w:t>3.1</w:t>
      </w:r>
      <w:r>
        <w:rPr>
          <w:rFonts w:ascii="宋体" w:hAnsi="宋体" w:hint="eastAsia"/>
          <w:szCs w:val="21"/>
        </w:rPr>
        <w:t>依据标准</w:t>
      </w:r>
    </w:p>
    <w:p w:rsidR="006B2AAF" w:rsidRDefault="00F223B0">
      <w:pPr>
        <w:snapToGrid w:val="0"/>
        <w:spacing w:line="440" w:lineRule="exact"/>
        <w:ind w:firstLineChars="200" w:firstLine="420"/>
        <w:rPr>
          <w:rFonts w:ascii="宋体" w:hAnsi="宋体"/>
          <w:color w:val="000000"/>
          <w:szCs w:val="21"/>
        </w:rPr>
      </w:pPr>
      <w:r>
        <w:rPr>
          <w:rFonts w:ascii="宋体" w:hAnsi="宋体" w:hint="eastAsia"/>
          <w:color w:val="000000"/>
          <w:szCs w:val="21"/>
        </w:rPr>
        <w:t>JT/T 224</w:t>
      </w:r>
      <w:r>
        <w:rPr>
          <w:rFonts w:ascii="宋体" w:hAnsi="宋体" w:hint="eastAsia"/>
          <w:color w:val="000000"/>
          <w:szCs w:val="21"/>
        </w:rPr>
        <w:t>－</w:t>
      </w:r>
      <w:r>
        <w:rPr>
          <w:rFonts w:ascii="宋体" w:hAnsi="宋体" w:hint="eastAsia"/>
          <w:color w:val="000000"/>
          <w:szCs w:val="21"/>
        </w:rPr>
        <w:t>2008</w:t>
      </w:r>
      <w:r>
        <w:rPr>
          <w:rFonts w:ascii="宋体" w:hAnsi="宋体" w:hint="eastAsia"/>
          <w:color w:val="000000"/>
          <w:szCs w:val="21"/>
        </w:rPr>
        <w:t>《中负荷车辆齿轮油》</w:t>
      </w:r>
    </w:p>
    <w:p w:rsidR="006B2AAF" w:rsidRDefault="00F223B0">
      <w:pPr>
        <w:snapToGrid w:val="0"/>
        <w:spacing w:line="440" w:lineRule="exact"/>
        <w:ind w:firstLineChars="200" w:firstLine="420"/>
        <w:rPr>
          <w:rFonts w:ascii="宋体" w:hAnsi="宋体"/>
          <w:szCs w:val="21"/>
        </w:rPr>
      </w:pPr>
      <w:r>
        <w:rPr>
          <w:rFonts w:ascii="宋体" w:hAnsi="宋体" w:hint="eastAsia"/>
          <w:szCs w:val="21"/>
        </w:rPr>
        <w:t>相关的法律、行政法规、部门规章、规范性文件</w:t>
      </w:r>
    </w:p>
    <w:p w:rsidR="006B2AAF" w:rsidRDefault="00F223B0">
      <w:pPr>
        <w:snapToGrid w:val="0"/>
        <w:spacing w:line="440" w:lineRule="exact"/>
        <w:ind w:firstLineChars="171" w:firstLine="359"/>
        <w:rPr>
          <w:rFonts w:ascii="宋体" w:hAnsi="宋体"/>
          <w:szCs w:val="21"/>
        </w:rPr>
      </w:pPr>
      <w:r>
        <w:rPr>
          <w:rFonts w:ascii="宋体" w:hAnsi="宋体" w:hint="eastAsia"/>
          <w:szCs w:val="21"/>
        </w:rPr>
        <w:t>现行有效的企业标准、团体标准、地方标准及产品明示质量要求</w:t>
      </w:r>
    </w:p>
    <w:p w:rsidR="006B2AAF" w:rsidRDefault="00F223B0">
      <w:pPr>
        <w:snapToGrid w:val="0"/>
        <w:spacing w:line="440" w:lineRule="exact"/>
        <w:rPr>
          <w:rFonts w:ascii="宋体" w:hAnsi="宋体"/>
          <w:szCs w:val="21"/>
        </w:rPr>
      </w:pPr>
      <w:r>
        <w:rPr>
          <w:rFonts w:ascii="宋体" w:hAnsi="宋体" w:hint="eastAsia"/>
          <w:szCs w:val="21"/>
        </w:rPr>
        <w:t>3.2</w:t>
      </w:r>
      <w:r>
        <w:rPr>
          <w:rFonts w:ascii="宋体" w:hAnsi="宋体" w:hint="eastAsia"/>
          <w:szCs w:val="21"/>
        </w:rPr>
        <w:t>判定原则</w:t>
      </w:r>
    </w:p>
    <w:p w:rsidR="006B2AAF" w:rsidRDefault="00F223B0">
      <w:pPr>
        <w:snapToGrid w:val="0"/>
        <w:spacing w:line="440" w:lineRule="exact"/>
        <w:ind w:firstLineChars="200" w:firstLine="420"/>
        <w:rPr>
          <w:rFonts w:ascii="宋体" w:hAnsi="宋体"/>
          <w:szCs w:val="21"/>
        </w:rPr>
      </w:pPr>
      <w:r>
        <w:rPr>
          <w:rFonts w:ascii="宋体" w:hAnsi="宋体" w:hint="eastAsia"/>
          <w:szCs w:val="21"/>
        </w:rPr>
        <w:t>经检验，检验项目全部合格，判定为被抽查产品所检项目未发现不合格；检验项目中任一项或</w:t>
      </w:r>
      <w:r>
        <w:rPr>
          <w:rFonts w:ascii="宋体" w:hAnsi="宋体" w:hint="eastAsia"/>
          <w:szCs w:val="21"/>
        </w:rPr>
        <w:lastRenderedPageBreak/>
        <w:t>一项以上不合格，判定为被抽查产品不合格。</w:t>
      </w:r>
      <w:bookmarkStart w:id="0" w:name="_GoBack"/>
      <w:bookmarkEnd w:id="0"/>
    </w:p>
    <w:p w:rsidR="006B2AAF" w:rsidRDefault="00F223B0" w:rsidP="0070056B">
      <w:pPr>
        <w:snapToGrid w:val="0"/>
        <w:spacing w:line="440" w:lineRule="exact"/>
        <w:ind w:firstLineChars="199" w:firstLine="418"/>
        <w:rPr>
          <w:rFonts w:ascii="宋体" w:hAnsi="宋体"/>
          <w:szCs w:val="21"/>
        </w:rPr>
      </w:pPr>
      <w:r>
        <w:rPr>
          <w:rFonts w:ascii="宋体" w:hAnsi="宋体" w:hint="eastAsia"/>
          <w:szCs w:val="21"/>
        </w:rPr>
        <w:t>若被检产品明示的质量要求高于本细则中检验项目依据的标准要求时，应按被检产品明示的质量要求判定。</w:t>
      </w:r>
    </w:p>
    <w:p w:rsidR="006B2AAF" w:rsidRDefault="00F223B0" w:rsidP="0070056B">
      <w:pPr>
        <w:snapToGrid w:val="0"/>
        <w:spacing w:line="440" w:lineRule="exact"/>
        <w:ind w:firstLineChars="199" w:firstLine="418"/>
        <w:rPr>
          <w:rFonts w:ascii="宋体" w:hAnsi="宋体"/>
          <w:szCs w:val="21"/>
        </w:rPr>
      </w:pPr>
      <w:r>
        <w:rPr>
          <w:rFonts w:ascii="宋体" w:hAnsi="宋体" w:hint="eastAsia"/>
          <w:szCs w:val="21"/>
        </w:rPr>
        <w:t>若被检产品明示的质量要求低于本细则中检验项目依据的强制性标准要求时，应按照强制性标准要求判定。</w:t>
      </w:r>
    </w:p>
    <w:p w:rsidR="006B2AAF" w:rsidRDefault="00F223B0" w:rsidP="0070056B">
      <w:pPr>
        <w:snapToGrid w:val="0"/>
        <w:spacing w:line="440" w:lineRule="exact"/>
        <w:ind w:firstLineChars="199" w:firstLine="418"/>
        <w:rPr>
          <w:rFonts w:ascii="宋体" w:hAnsi="宋体"/>
          <w:szCs w:val="21"/>
        </w:rPr>
      </w:pPr>
      <w:r>
        <w:rPr>
          <w:rFonts w:ascii="宋体" w:hAnsi="宋体" w:hint="eastAsia"/>
          <w:szCs w:val="21"/>
        </w:rPr>
        <w:t>若被检产品明示</w:t>
      </w:r>
      <w:r>
        <w:rPr>
          <w:rFonts w:ascii="宋体" w:hAnsi="宋体" w:hint="eastAsia"/>
          <w:szCs w:val="21"/>
        </w:rPr>
        <w:t>的质量要求低于或包含细则中检验项目依据的推荐性标准要求时，应以被检产品明示的质量要求判定，但应在检验报告备注中进行说明。</w:t>
      </w:r>
    </w:p>
    <w:p w:rsidR="006B2AAF" w:rsidRDefault="00F223B0" w:rsidP="0070056B">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若被检产品明示的质量要求缺少本细则中检验项目依据的强制性标准要求时，应按照强制性标准要求判定。</w:t>
      </w:r>
    </w:p>
    <w:p w:rsidR="006B2AAF" w:rsidRDefault="00F223B0" w:rsidP="0070056B">
      <w:pPr>
        <w:snapToGrid w:val="0"/>
        <w:spacing w:line="440" w:lineRule="exact"/>
        <w:ind w:firstLineChars="199" w:firstLine="418"/>
        <w:rPr>
          <w:rFonts w:ascii="宋体" w:hAnsi="宋体"/>
          <w:szCs w:val="21"/>
        </w:rPr>
      </w:pPr>
      <w:r>
        <w:rPr>
          <w:rFonts w:ascii="宋体" w:hAnsi="宋体" w:hint="eastAsia"/>
          <w:szCs w:val="21"/>
        </w:rPr>
        <w:t>若被检产品明示的质量要求缺少本细则中检验项目依据的推荐性标准要求时，该项目不参与判定，但应在检验报告备注中进行说明。</w:t>
      </w:r>
    </w:p>
    <w:p w:rsidR="006B2AAF" w:rsidRDefault="006B2AAF">
      <w:pPr>
        <w:snapToGrid w:val="0"/>
        <w:spacing w:line="440" w:lineRule="exact"/>
        <w:rPr>
          <w:rFonts w:ascii="宋体" w:hAnsi="宋体"/>
          <w:szCs w:val="21"/>
        </w:rPr>
      </w:pPr>
    </w:p>
    <w:sectPr w:rsidR="006B2AAF" w:rsidSect="006B2AAF">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3B0" w:rsidRDefault="00F223B0" w:rsidP="006B2AAF">
      <w:r>
        <w:separator/>
      </w:r>
    </w:p>
  </w:endnote>
  <w:endnote w:type="continuationSeparator" w:id="0">
    <w:p w:rsidR="00F223B0" w:rsidRDefault="00F223B0" w:rsidP="006B2A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AF" w:rsidRDefault="006B2AAF">
    <w:pPr>
      <w:pStyle w:val="a4"/>
      <w:framePr w:wrap="around" w:vAnchor="text" w:hAnchor="margin" w:xAlign="center" w:y="1"/>
      <w:rPr>
        <w:rStyle w:val="a6"/>
      </w:rPr>
    </w:pPr>
    <w:r>
      <w:fldChar w:fldCharType="begin"/>
    </w:r>
    <w:r w:rsidR="00F223B0">
      <w:rPr>
        <w:rStyle w:val="a6"/>
      </w:rPr>
      <w:instrText xml:space="preserve">PAGE  </w:instrText>
    </w:r>
    <w:r>
      <w:fldChar w:fldCharType="separate"/>
    </w:r>
    <w:r w:rsidR="00F223B0">
      <w:rPr>
        <w:rStyle w:val="a6"/>
      </w:rPr>
      <w:t>2</w:t>
    </w:r>
    <w:r>
      <w:fldChar w:fldCharType="end"/>
    </w:r>
  </w:p>
  <w:p w:rsidR="006B2AAF" w:rsidRDefault="006B2AAF">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AF" w:rsidRDefault="006B2AAF">
    <w:pPr>
      <w:pStyle w:val="a4"/>
      <w:jc w:val="center"/>
    </w:pPr>
    <w:r>
      <w:rPr>
        <w:lang w:val="zh-CN"/>
      </w:rPr>
      <w:fldChar w:fldCharType="begin"/>
    </w:r>
    <w:r w:rsidR="00F223B0">
      <w:rPr>
        <w:lang w:val="zh-CN"/>
      </w:rPr>
      <w:instrText xml:space="preserve"> PAGE   \* MERGEFORM</w:instrText>
    </w:r>
    <w:r w:rsidR="00F223B0">
      <w:rPr>
        <w:lang w:val="zh-CN"/>
      </w:rPr>
      <w:instrText xml:space="preserve">AT </w:instrText>
    </w:r>
    <w:r>
      <w:rPr>
        <w:lang w:val="zh-CN"/>
      </w:rPr>
      <w:fldChar w:fldCharType="separate"/>
    </w:r>
    <w:r w:rsidR="0070056B" w:rsidRPr="0070056B">
      <w:rPr>
        <w:noProof/>
      </w:rPr>
      <w:t>1</w:t>
    </w:r>
    <w:r>
      <w:rPr>
        <w:lang w:val="zh-CN"/>
      </w:rPr>
      <w:fldChar w:fldCharType="end"/>
    </w:r>
  </w:p>
  <w:p w:rsidR="006B2AAF" w:rsidRDefault="006B2AAF">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3B0" w:rsidRDefault="00F223B0" w:rsidP="006B2AAF">
      <w:r>
        <w:separator/>
      </w:r>
    </w:p>
  </w:footnote>
  <w:footnote w:type="continuationSeparator" w:id="0">
    <w:p w:rsidR="00F223B0" w:rsidRDefault="00F223B0" w:rsidP="006B2A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2AAF" w:rsidRDefault="006B2AAF">
    <w:pPr>
      <w:pStyle w:val="a5"/>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51A44"/>
    <w:rsid w:val="00081CBD"/>
    <w:rsid w:val="000976DE"/>
    <w:rsid w:val="000B192B"/>
    <w:rsid w:val="00172A27"/>
    <w:rsid w:val="001809DD"/>
    <w:rsid w:val="001C12A8"/>
    <w:rsid w:val="00202991"/>
    <w:rsid w:val="002056F9"/>
    <w:rsid w:val="00232530"/>
    <w:rsid w:val="00253624"/>
    <w:rsid w:val="00262A5A"/>
    <w:rsid w:val="002D7F8A"/>
    <w:rsid w:val="002E0D1D"/>
    <w:rsid w:val="002F5399"/>
    <w:rsid w:val="003203A3"/>
    <w:rsid w:val="003C388C"/>
    <w:rsid w:val="003E61BF"/>
    <w:rsid w:val="00445E86"/>
    <w:rsid w:val="00474E04"/>
    <w:rsid w:val="00490A3A"/>
    <w:rsid w:val="004C19EB"/>
    <w:rsid w:val="004D0C5A"/>
    <w:rsid w:val="004E1396"/>
    <w:rsid w:val="00563EBC"/>
    <w:rsid w:val="005C5F12"/>
    <w:rsid w:val="0064018C"/>
    <w:rsid w:val="006A5728"/>
    <w:rsid w:val="006A5B9B"/>
    <w:rsid w:val="006B2AAF"/>
    <w:rsid w:val="006D2A5D"/>
    <w:rsid w:val="006E1171"/>
    <w:rsid w:val="006F0971"/>
    <w:rsid w:val="0070056B"/>
    <w:rsid w:val="0072334C"/>
    <w:rsid w:val="00757177"/>
    <w:rsid w:val="00793707"/>
    <w:rsid w:val="00795536"/>
    <w:rsid w:val="00895BEA"/>
    <w:rsid w:val="008A3497"/>
    <w:rsid w:val="008A70AC"/>
    <w:rsid w:val="00917A54"/>
    <w:rsid w:val="009E7342"/>
    <w:rsid w:val="00A43553"/>
    <w:rsid w:val="00AC5391"/>
    <w:rsid w:val="00BF2B8C"/>
    <w:rsid w:val="00C005D7"/>
    <w:rsid w:val="00C061B9"/>
    <w:rsid w:val="00C26074"/>
    <w:rsid w:val="00C8349F"/>
    <w:rsid w:val="00C83B0A"/>
    <w:rsid w:val="00C87B16"/>
    <w:rsid w:val="00CB36B3"/>
    <w:rsid w:val="00CE1E0C"/>
    <w:rsid w:val="00CE277E"/>
    <w:rsid w:val="00D242C5"/>
    <w:rsid w:val="00D44794"/>
    <w:rsid w:val="00D56867"/>
    <w:rsid w:val="00DB4120"/>
    <w:rsid w:val="00E02A7F"/>
    <w:rsid w:val="00E07880"/>
    <w:rsid w:val="00E82621"/>
    <w:rsid w:val="00F22318"/>
    <w:rsid w:val="00F223B0"/>
    <w:rsid w:val="00F55AEB"/>
    <w:rsid w:val="00F75224"/>
    <w:rsid w:val="00F77C9A"/>
    <w:rsid w:val="00FB576C"/>
    <w:rsid w:val="00FD2AA6"/>
    <w:rsid w:val="00FE7E8A"/>
    <w:rsid w:val="03195695"/>
    <w:rsid w:val="03900595"/>
    <w:rsid w:val="046056FC"/>
    <w:rsid w:val="05E97167"/>
    <w:rsid w:val="063532A4"/>
    <w:rsid w:val="09386C60"/>
    <w:rsid w:val="0E3B23D8"/>
    <w:rsid w:val="1BA619A4"/>
    <w:rsid w:val="22D57CCC"/>
    <w:rsid w:val="22F15084"/>
    <w:rsid w:val="237100E4"/>
    <w:rsid w:val="2B4D4BCC"/>
    <w:rsid w:val="2C693AF0"/>
    <w:rsid w:val="2D5B2AAC"/>
    <w:rsid w:val="2DEB5532"/>
    <w:rsid w:val="2F6A611F"/>
    <w:rsid w:val="32416606"/>
    <w:rsid w:val="326A5F7E"/>
    <w:rsid w:val="33224AE9"/>
    <w:rsid w:val="3F427B10"/>
    <w:rsid w:val="3FAA1801"/>
    <w:rsid w:val="50717154"/>
    <w:rsid w:val="56310238"/>
    <w:rsid w:val="56B23BF9"/>
    <w:rsid w:val="597A40F4"/>
    <w:rsid w:val="59DE653C"/>
    <w:rsid w:val="5F2C574E"/>
    <w:rsid w:val="6297599B"/>
    <w:rsid w:val="6E1E4978"/>
    <w:rsid w:val="764D15B7"/>
    <w:rsid w:val="794E1B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page number" w:semiHidden="0" w:uiPriority="0" w:unhideWhenUsed="0"/>
    <w:lsdException w:name="Title" w:semiHidden="0" w:uiPriority="10" w:unhideWhenUsed="0" w:qFormat="1"/>
    <w:lsdException w:name="Default Paragraph Font"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lsdException w:name="Balloon Text" w:semiHidden="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2A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6B2AAF"/>
    <w:rPr>
      <w:sz w:val="18"/>
      <w:szCs w:val="18"/>
    </w:rPr>
  </w:style>
  <w:style w:type="paragraph" w:styleId="a4">
    <w:name w:val="footer"/>
    <w:basedOn w:val="a"/>
    <w:link w:val="Char0"/>
    <w:uiPriority w:val="99"/>
    <w:unhideWhenUsed/>
    <w:rsid w:val="006B2AAF"/>
    <w:pPr>
      <w:tabs>
        <w:tab w:val="center" w:pos="4153"/>
        <w:tab w:val="right" w:pos="8306"/>
      </w:tabs>
      <w:snapToGrid w:val="0"/>
      <w:jc w:val="left"/>
    </w:pPr>
    <w:rPr>
      <w:sz w:val="18"/>
      <w:szCs w:val="18"/>
    </w:rPr>
  </w:style>
  <w:style w:type="paragraph" w:styleId="a5">
    <w:name w:val="header"/>
    <w:basedOn w:val="a"/>
    <w:link w:val="Char1"/>
    <w:unhideWhenUsed/>
    <w:rsid w:val="006B2AAF"/>
    <w:pPr>
      <w:pBdr>
        <w:bottom w:val="single" w:sz="6" w:space="1" w:color="auto"/>
      </w:pBdr>
      <w:tabs>
        <w:tab w:val="center" w:pos="4153"/>
        <w:tab w:val="right" w:pos="8306"/>
      </w:tabs>
      <w:snapToGrid w:val="0"/>
      <w:jc w:val="center"/>
    </w:pPr>
    <w:rPr>
      <w:sz w:val="18"/>
      <w:szCs w:val="18"/>
    </w:rPr>
  </w:style>
  <w:style w:type="character" w:styleId="a6">
    <w:name w:val="page number"/>
    <w:basedOn w:val="a0"/>
    <w:rsid w:val="006B2AAF"/>
  </w:style>
  <w:style w:type="character" w:customStyle="1" w:styleId="Char1">
    <w:name w:val="页眉 Char"/>
    <w:basedOn w:val="a0"/>
    <w:link w:val="a5"/>
    <w:uiPriority w:val="99"/>
    <w:semiHidden/>
    <w:rsid w:val="006B2AAF"/>
    <w:rPr>
      <w:kern w:val="2"/>
      <w:sz w:val="18"/>
      <w:szCs w:val="18"/>
    </w:rPr>
  </w:style>
  <w:style w:type="character" w:customStyle="1" w:styleId="Char">
    <w:name w:val="批注框文本 Char"/>
    <w:basedOn w:val="a0"/>
    <w:link w:val="a3"/>
    <w:uiPriority w:val="99"/>
    <w:semiHidden/>
    <w:rsid w:val="006B2AAF"/>
    <w:rPr>
      <w:kern w:val="2"/>
      <w:sz w:val="18"/>
      <w:szCs w:val="18"/>
    </w:rPr>
  </w:style>
  <w:style w:type="character" w:customStyle="1" w:styleId="Char0">
    <w:name w:val="页脚 Char"/>
    <w:basedOn w:val="a0"/>
    <w:link w:val="a4"/>
    <w:uiPriority w:val="99"/>
    <w:rsid w:val="006B2AAF"/>
    <w:rPr>
      <w:kern w:val="2"/>
      <w:sz w:val="18"/>
      <w:szCs w:val="18"/>
    </w:rPr>
  </w:style>
  <w:style w:type="paragraph" w:customStyle="1" w:styleId="1">
    <w:name w:val="列出段落1"/>
    <w:basedOn w:val="a"/>
    <w:uiPriority w:val="34"/>
    <w:qFormat/>
    <w:rsid w:val="006B2AAF"/>
    <w:pPr>
      <w:ind w:firstLineChars="200" w:firstLine="420"/>
    </w:pPr>
    <w:rPr>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139</Words>
  <Characters>793</Characters>
  <Application>Microsoft Office Word</Application>
  <DocSecurity>0</DocSecurity>
  <Lines>6</Lines>
  <Paragraphs>1</Paragraphs>
  <ScaleCrop>false</ScaleCrop>
  <Company>Legend (Beijing) Limited</Company>
  <LinksUpToDate>false</LinksUpToDate>
  <CharactersWithSpaces>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李小辉</cp:lastModifiedBy>
  <cp:revision>8</cp:revision>
  <cp:lastPrinted>2021-01-27T07:10:00Z</cp:lastPrinted>
  <dcterms:created xsi:type="dcterms:W3CDTF">2020-04-27T09:39:00Z</dcterms:created>
  <dcterms:modified xsi:type="dcterms:W3CDTF">2021-12-29T03:12:00Z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55FCD5884A3A423380F800937F35E898</vt:lpwstr>
  </property>
</Properties>
</file>