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重庆市合成树脂乳液砂壁状建筑涂料</w:t>
      </w:r>
    </w:p>
    <w:p>
      <w:pPr>
        <w:snapToGrid w:val="0"/>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产品质量监督抽查实施细则（202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年）</w:t>
      </w:r>
    </w:p>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lang w:eastAsia="zh-CN"/>
        </w:rPr>
        <w:t>同一生产者</w:t>
      </w:r>
      <w:r>
        <w:rPr>
          <w:rFonts w:hint="eastAsia" w:ascii="宋体" w:hAnsi="宋体"/>
          <w:color w:val="000000"/>
          <w:szCs w:val="21"/>
        </w:rPr>
        <w:t>按照同一标准生产的同一商标、同一规格型号的产品中抽取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作为备用样品。若产品有配套使用的底涂料、面涂料，应各抽取两份，每份不低于1kg。</w:t>
      </w:r>
    </w:p>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ind w:firstLine="420" w:firstLineChars="200"/>
        <w:rPr>
          <w:rFonts w:ascii="宋体" w:hAnsi="宋体"/>
          <w:color w:val="000000" w:themeColor="text1"/>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w:t>
      </w:r>
      <w:r>
        <w:rPr>
          <w:rFonts w:hint="eastAsia" w:ascii="宋体" w:hAnsi="宋体"/>
          <w:color w:val="000000" w:themeColor="text1"/>
          <w:szCs w:val="21"/>
          <w:lang w:eastAsia="zh-CN"/>
        </w:rPr>
        <w:t>、表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90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071"/>
        <w:gridCol w:w="876"/>
        <w:gridCol w:w="39"/>
        <w:gridCol w:w="1567"/>
        <w:gridCol w:w="2414"/>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blHeader/>
        </w:trPr>
        <w:tc>
          <w:tcPr>
            <w:tcW w:w="681" w:type="dxa"/>
            <w:vAlign w:val="center"/>
          </w:tcPr>
          <w:p>
            <w:pPr>
              <w:jc w:val="center"/>
              <w:rPr>
                <w:rFonts w:ascii="宋体" w:hAnsi="宋体"/>
                <w:szCs w:val="21"/>
              </w:rPr>
            </w:pPr>
            <w:r>
              <w:rPr>
                <w:rFonts w:hint="eastAsia" w:ascii="宋体" w:hAnsi="宋体"/>
                <w:szCs w:val="21"/>
              </w:rPr>
              <w:t>序号</w:t>
            </w:r>
          </w:p>
        </w:tc>
        <w:tc>
          <w:tcPr>
            <w:tcW w:w="3553" w:type="dxa"/>
            <w:gridSpan w:val="4"/>
            <w:vAlign w:val="center"/>
          </w:tcPr>
          <w:p>
            <w:pPr>
              <w:jc w:val="center"/>
              <w:rPr>
                <w:rFonts w:ascii="宋体" w:hAnsi="宋体"/>
                <w:szCs w:val="21"/>
              </w:rPr>
            </w:pPr>
            <w:r>
              <w:rPr>
                <w:rFonts w:hint="eastAsia" w:ascii="宋体" w:hAnsi="宋体"/>
                <w:szCs w:val="21"/>
              </w:rPr>
              <w:t>检验项目</w:t>
            </w:r>
          </w:p>
        </w:tc>
        <w:tc>
          <w:tcPr>
            <w:tcW w:w="2414" w:type="dxa"/>
            <w:vAlign w:val="center"/>
          </w:tcPr>
          <w:p>
            <w:pPr>
              <w:jc w:val="center"/>
              <w:rPr>
                <w:rFonts w:ascii="宋体" w:hAnsi="宋体"/>
                <w:szCs w:val="21"/>
              </w:rPr>
            </w:pPr>
            <w:r>
              <w:rPr>
                <w:rFonts w:hint="eastAsia" w:ascii="宋体" w:hAnsi="宋体"/>
                <w:szCs w:val="21"/>
              </w:rPr>
              <w:t>判定依据</w:t>
            </w:r>
          </w:p>
        </w:tc>
        <w:tc>
          <w:tcPr>
            <w:tcW w:w="2445" w:type="dxa"/>
            <w:vAlign w:val="center"/>
          </w:tcPr>
          <w:p>
            <w:pPr>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1</w:t>
            </w:r>
          </w:p>
        </w:tc>
        <w:tc>
          <w:tcPr>
            <w:tcW w:w="1071" w:type="dxa"/>
            <w:vMerge w:val="restart"/>
            <w:vAlign w:val="center"/>
          </w:tcPr>
          <w:p>
            <w:pPr>
              <w:jc w:val="center"/>
              <w:rPr>
                <w:rFonts w:ascii="宋体" w:hAnsi="宋体"/>
                <w:szCs w:val="21"/>
              </w:rPr>
            </w:pPr>
            <w:r>
              <w:rPr>
                <w:rFonts w:hint="eastAsia" w:ascii="宋体" w:hAnsi="宋体"/>
                <w:szCs w:val="21"/>
              </w:rPr>
              <w:t>主涂料</w:t>
            </w:r>
          </w:p>
        </w:tc>
        <w:tc>
          <w:tcPr>
            <w:tcW w:w="2482" w:type="dxa"/>
            <w:gridSpan w:val="3"/>
            <w:vAlign w:val="center"/>
          </w:tcPr>
          <w:p>
            <w:pPr>
              <w:jc w:val="center"/>
              <w:rPr>
                <w:rFonts w:ascii="宋体" w:hAnsi="宋体"/>
                <w:szCs w:val="21"/>
              </w:rPr>
            </w:pPr>
            <w:r>
              <w:rPr>
                <w:rFonts w:hint="eastAsia" w:ascii="宋体" w:hAnsi="宋体"/>
                <w:szCs w:val="21"/>
              </w:rPr>
              <w:t>低温稳定性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2</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热贮存稳定性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3</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吸水量</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681" w:type="dxa"/>
            <w:vAlign w:val="center"/>
          </w:tcPr>
          <w:p>
            <w:pPr>
              <w:jc w:val="center"/>
              <w:rPr>
                <w:rFonts w:ascii="宋体" w:hAnsi="宋体"/>
                <w:szCs w:val="21"/>
              </w:rPr>
            </w:pPr>
            <w:r>
              <w:rPr>
                <w:rFonts w:hint="eastAsia" w:ascii="宋体" w:hAnsi="宋体"/>
                <w:szCs w:val="21"/>
              </w:rPr>
              <w:t>4</w:t>
            </w:r>
          </w:p>
        </w:tc>
        <w:tc>
          <w:tcPr>
            <w:tcW w:w="1071" w:type="dxa"/>
            <w:vMerge w:val="restart"/>
            <w:vAlign w:val="center"/>
          </w:tcPr>
          <w:p>
            <w:pPr>
              <w:jc w:val="center"/>
              <w:rPr>
                <w:rFonts w:ascii="宋体" w:hAnsi="宋体"/>
                <w:szCs w:val="21"/>
              </w:rPr>
            </w:pPr>
            <w:r>
              <w:rPr>
                <w:rFonts w:hint="eastAsia" w:ascii="宋体" w:hAnsi="宋体"/>
                <w:szCs w:val="21"/>
              </w:rPr>
              <w:t>涂层体系</w:t>
            </w:r>
          </w:p>
        </w:tc>
        <w:tc>
          <w:tcPr>
            <w:tcW w:w="2482" w:type="dxa"/>
            <w:gridSpan w:val="3"/>
            <w:vAlign w:val="center"/>
          </w:tcPr>
          <w:p>
            <w:pPr>
              <w:jc w:val="center"/>
              <w:rPr>
                <w:rFonts w:ascii="宋体" w:hAnsi="宋体"/>
                <w:szCs w:val="21"/>
              </w:rPr>
            </w:pPr>
            <w:r>
              <w:rPr>
                <w:rFonts w:hint="eastAsia" w:ascii="宋体" w:hAnsi="宋体"/>
                <w:szCs w:val="21"/>
              </w:rPr>
              <w:t>耐水性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GB/T 17</w:t>
            </w:r>
            <w:r>
              <w:rPr>
                <w:rFonts w:hint="eastAsia" w:ascii="宋体" w:hAnsi="宋体"/>
                <w:szCs w:val="21"/>
              </w:rPr>
              <w:t>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5</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耐碱性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 xml:space="preserve">GB/T </w:t>
            </w:r>
            <w:r>
              <w:rPr>
                <w:rFonts w:hint="eastAsia" w:ascii="宋体" w:hAnsi="宋体"/>
                <w:szCs w:val="21"/>
              </w:rPr>
              <w: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6</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涂层耐温变性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1" w:type="dxa"/>
            <w:vAlign w:val="center"/>
          </w:tcPr>
          <w:p>
            <w:pPr>
              <w:jc w:val="center"/>
              <w:rPr>
                <w:rFonts w:ascii="宋体" w:hAnsi="宋体"/>
                <w:szCs w:val="21"/>
              </w:rPr>
            </w:pPr>
            <w:r>
              <w:rPr>
                <w:rFonts w:hint="eastAsia" w:ascii="宋体" w:hAnsi="宋体"/>
                <w:szCs w:val="21"/>
              </w:rPr>
              <w:t>7</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耐沾污性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81" w:type="dxa"/>
            <w:vMerge w:val="restart"/>
            <w:vAlign w:val="center"/>
          </w:tcPr>
          <w:p>
            <w:pPr>
              <w:jc w:val="center"/>
              <w:rPr>
                <w:rFonts w:ascii="宋体" w:hAnsi="宋体"/>
                <w:szCs w:val="21"/>
              </w:rPr>
            </w:pPr>
            <w:r>
              <w:rPr>
                <w:rFonts w:hint="eastAsia" w:ascii="宋体" w:hAnsi="宋体"/>
                <w:szCs w:val="21"/>
              </w:rPr>
              <w:t>8</w:t>
            </w:r>
          </w:p>
        </w:tc>
        <w:tc>
          <w:tcPr>
            <w:tcW w:w="1071" w:type="dxa"/>
            <w:vMerge w:val="continue"/>
            <w:vAlign w:val="center"/>
          </w:tcPr>
          <w:p>
            <w:pPr>
              <w:jc w:val="center"/>
              <w:rPr>
                <w:rFonts w:ascii="宋体" w:hAnsi="宋体"/>
                <w:szCs w:val="21"/>
              </w:rPr>
            </w:pPr>
          </w:p>
        </w:tc>
        <w:tc>
          <w:tcPr>
            <w:tcW w:w="915" w:type="dxa"/>
            <w:gridSpan w:val="2"/>
            <w:vMerge w:val="restart"/>
            <w:vAlign w:val="center"/>
          </w:tcPr>
          <w:p>
            <w:pPr>
              <w:jc w:val="center"/>
              <w:rPr>
                <w:rFonts w:ascii="宋体" w:hAnsi="宋体"/>
                <w:szCs w:val="21"/>
              </w:rPr>
            </w:pPr>
            <w:r>
              <w:rPr>
                <w:rFonts w:hint="eastAsia" w:ascii="宋体" w:hAnsi="宋体"/>
                <w:szCs w:val="21"/>
              </w:rPr>
              <w:t>粘结强度</w:t>
            </w:r>
          </w:p>
        </w:tc>
        <w:tc>
          <w:tcPr>
            <w:tcW w:w="1567" w:type="dxa"/>
            <w:vAlign w:val="center"/>
          </w:tcPr>
          <w:p>
            <w:pPr>
              <w:jc w:val="center"/>
              <w:rPr>
                <w:rFonts w:ascii="宋体" w:hAnsi="宋体"/>
                <w:szCs w:val="21"/>
              </w:rPr>
            </w:pPr>
            <w:r>
              <w:rPr>
                <w:rFonts w:hint="eastAsia" w:ascii="宋体" w:hAnsi="宋体"/>
                <w:szCs w:val="21"/>
              </w:rPr>
              <w:t>标准状态</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81" w:type="dxa"/>
            <w:vMerge w:val="continue"/>
            <w:vAlign w:val="center"/>
          </w:tcPr>
          <w:p>
            <w:pPr>
              <w:jc w:val="center"/>
              <w:rPr>
                <w:rFonts w:ascii="宋体" w:hAnsi="宋体"/>
                <w:szCs w:val="21"/>
              </w:rPr>
            </w:pPr>
          </w:p>
        </w:tc>
        <w:tc>
          <w:tcPr>
            <w:tcW w:w="1071" w:type="dxa"/>
            <w:vMerge w:val="continue"/>
            <w:vAlign w:val="center"/>
          </w:tcPr>
          <w:p>
            <w:pPr>
              <w:jc w:val="center"/>
              <w:rPr>
                <w:rFonts w:ascii="宋体" w:hAnsi="宋体"/>
                <w:szCs w:val="21"/>
              </w:rPr>
            </w:pPr>
          </w:p>
        </w:tc>
        <w:tc>
          <w:tcPr>
            <w:tcW w:w="915" w:type="dxa"/>
            <w:gridSpan w:val="2"/>
            <w:vMerge w:val="continue"/>
            <w:vAlign w:val="center"/>
          </w:tcPr>
          <w:p>
            <w:pPr>
              <w:jc w:val="center"/>
              <w:rPr>
                <w:rFonts w:ascii="宋体" w:hAnsi="宋体"/>
                <w:szCs w:val="21"/>
              </w:rPr>
            </w:pPr>
          </w:p>
        </w:tc>
        <w:tc>
          <w:tcPr>
            <w:tcW w:w="1567" w:type="dxa"/>
            <w:vAlign w:val="center"/>
          </w:tcPr>
          <w:p>
            <w:pPr>
              <w:jc w:val="center"/>
              <w:rPr>
                <w:rFonts w:ascii="宋体" w:hAnsi="宋体"/>
                <w:szCs w:val="21"/>
              </w:rPr>
            </w:pPr>
            <w:r>
              <w:rPr>
                <w:rFonts w:hint="eastAsia" w:ascii="宋体" w:hAnsi="宋体"/>
                <w:szCs w:val="21"/>
              </w:rPr>
              <w:t>冻融循环</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9</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柔韧性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trPr>
        <w:tc>
          <w:tcPr>
            <w:tcW w:w="681" w:type="dxa"/>
            <w:vMerge w:val="restart"/>
            <w:vAlign w:val="center"/>
          </w:tcPr>
          <w:p>
            <w:pPr>
              <w:jc w:val="center"/>
              <w:rPr>
                <w:rFonts w:ascii="宋体" w:hAnsi="宋体"/>
                <w:szCs w:val="21"/>
              </w:rPr>
            </w:pPr>
            <w:r>
              <w:rPr>
                <w:rFonts w:hint="eastAsia" w:ascii="宋体" w:hAnsi="宋体"/>
                <w:szCs w:val="21"/>
              </w:rPr>
              <w:t>10</w:t>
            </w:r>
          </w:p>
        </w:tc>
        <w:tc>
          <w:tcPr>
            <w:tcW w:w="1947" w:type="dxa"/>
            <w:gridSpan w:val="2"/>
            <w:vMerge w:val="restart"/>
            <w:vAlign w:val="center"/>
          </w:tcPr>
          <w:p>
            <w:pPr>
              <w:jc w:val="center"/>
              <w:rPr>
                <w:rFonts w:ascii="宋体" w:hAnsi="宋体"/>
                <w:szCs w:val="21"/>
              </w:rPr>
            </w:pPr>
            <w:r>
              <w:rPr>
                <w:rFonts w:ascii="宋体" w:hAnsi="宋体"/>
                <w:szCs w:val="21"/>
              </w:rPr>
              <w:t>挥发性有机化合物</w:t>
            </w:r>
            <w:r>
              <w:rPr>
                <w:rFonts w:hint="eastAsia" w:ascii="宋体" w:hAnsi="宋体"/>
                <w:szCs w:val="21"/>
              </w:rPr>
              <w:t>(VOC)</w:t>
            </w:r>
            <w:r>
              <w:rPr>
                <w:rFonts w:ascii="宋体" w:hAnsi="宋体"/>
                <w:szCs w:val="21"/>
              </w:rPr>
              <w:t>含</w:t>
            </w:r>
            <w:r>
              <w:rPr>
                <w:rFonts w:hint="eastAsia" w:ascii="宋体" w:hAnsi="宋体"/>
                <w:szCs w:val="21"/>
              </w:rPr>
              <w:t>量</w:t>
            </w:r>
          </w:p>
        </w:tc>
        <w:tc>
          <w:tcPr>
            <w:tcW w:w="1606" w:type="dxa"/>
            <w:gridSpan w:val="2"/>
            <w:vAlign w:val="center"/>
          </w:tcPr>
          <w:p>
            <w:pPr>
              <w:jc w:val="center"/>
              <w:rPr>
                <w:rFonts w:ascii="宋体" w:hAnsi="宋体"/>
                <w:szCs w:val="21"/>
              </w:rPr>
            </w:pPr>
            <w:r>
              <w:rPr>
                <w:rFonts w:hint="eastAsia" w:ascii="宋体" w:hAnsi="宋体"/>
                <w:szCs w:val="21"/>
              </w:rPr>
              <w:t>内墙型</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81" w:type="dxa"/>
            <w:vMerge w:val="continue"/>
            <w:vAlign w:val="center"/>
          </w:tcPr>
          <w:p>
            <w:pPr>
              <w:jc w:val="center"/>
              <w:rPr>
                <w:rFonts w:ascii="宋体" w:hAnsi="宋体"/>
                <w:szCs w:val="21"/>
              </w:rPr>
            </w:pPr>
          </w:p>
        </w:tc>
        <w:tc>
          <w:tcPr>
            <w:tcW w:w="1947" w:type="dxa"/>
            <w:gridSpan w:val="2"/>
            <w:vMerge w:val="continue"/>
            <w:vAlign w:val="center"/>
          </w:tcPr>
          <w:p>
            <w:pPr>
              <w:jc w:val="center"/>
              <w:rPr>
                <w:rFonts w:ascii="宋体" w:hAnsi="宋体"/>
                <w:szCs w:val="21"/>
              </w:rPr>
            </w:pPr>
          </w:p>
        </w:tc>
        <w:tc>
          <w:tcPr>
            <w:tcW w:w="1606" w:type="dxa"/>
            <w:gridSpan w:val="2"/>
            <w:vAlign w:val="center"/>
          </w:tcPr>
          <w:p>
            <w:pPr>
              <w:jc w:val="center"/>
              <w:rPr>
                <w:rFonts w:ascii="宋体" w:hAnsi="宋体"/>
                <w:szCs w:val="21"/>
              </w:rPr>
            </w:pPr>
            <w:r>
              <w:rPr>
                <w:rFonts w:hint="eastAsia" w:ascii="宋体" w:hAnsi="宋体"/>
                <w:szCs w:val="21"/>
              </w:rPr>
              <w:t>外墙型</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ascii="宋体" w:hAnsi="宋体"/>
                <w:szCs w:val="21"/>
              </w:rPr>
            </w:pPr>
            <w:r>
              <w:rPr>
                <w:rFonts w:hint="eastAsia" w:ascii="宋体" w:hAnsi="宋体"/>
                <w:szCs w:val="21"/>
              </w:rPr>
              <w:t>11</w:t>
            </w:r>
          </w:p>
        </w:tc>
        <w:tc>
          <w:tcPr>
            <w:tcW w:w="3553" w:type="dxa"/>
            <w:gridSpan w:val="4"/>
            <w:vAlign w:val="center"/>
          </w:tcPr>
          <w:p>
            <w:pPr>
              <w:jc w:val="center"/>
              <w:rPr>
                <w:rFonts w:ascii="宋体" w:hAnsi="宋体"/>
                <w:szCs w:val="21"/>
              </w:rPr>
            </w:pPr>
            <w:r>
              <w:rPr>
                <w:rFonts w:hint="eastAsia" w:ascii="宋体" w:hAnsi="宋体"/>
                <w:szCs w:val="21"/>
              </w:rPr>
              <w:t>苯、甲苯、乙苯、二甲苯总和</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681" w:type="dxa"/>
            <w:vMerge w:val="restart"/>
            <w:vAlign w:val="center"/>
          </w:tcPr>
          <w:p>
            <w:pPr>
              <w:jc w:val="center"/>
              <w:rPr>
                <w:rFonts w:ascii="宋体" w:hAnsi="宋体"/>
                <w:szCs w:val="21"/>
              </w:rPr>
            </w:pPr>
            <w:r>
              <w:rPr>
                <w:rFonts w:hint="eastAsia" w:ascii="宋体" w:hAnsi="宋体"/>
                <w:szCs w:val="21"/>
              </w:rPr>
              <w:t>12</w:t>
            </w:r>
          </w:p>
        </w:tc>
        <w:tc>
          <w:tcPr>
            <w:tcW w:w="1947" w:type="dxa"/>
            <w:gridSpan w:val="2"/>
            <w:vMerge w:val="restart"/>
            <w:vAlign w:val="center"/>
          </w:tcPr>
          <w:p>
            <w:pPr>
              <w:jc w:val="center"/>
              <w:rPr>
                <w:rFonts w:ascii="宋体" w:hAnsi="宋体"/>
                <w:szCs w:val="21"/>
              </w:rPr>
            </w:pPr>
            <w:r>
              <w:rPr>
                <w:rFonts w:hint="eastAsia" w:ascii="宋体" w:hAnsi="宋体"/>
                <w:szCs w:val="21"/>
              </w:rPr>
              <w:t>游离甲醛</w:t>
            </w:r>
          </w:p>
        </w:tc>
        <w:tc>
          <w:tcPr>
            <w:tcW w:w="1606" w:type="dxa"/>
            <w:gridSpan w:val="2"/>
            <w:vAlign w:val="center"/>
          </w:tcPr>
          <w:p>
            <w:pPr>
              <w:jc w:val="center"/>
              <w:rPr>
                <w:rFonts w:ascii="宋体" w:hAnsi="宋体"/>
                <w:szCs w:val="21"/>
              </w:rPr>
            </w:pPr>
            <w:r>
              <w:rPr>
                <w:rFonts w:hint="eastAsia" w:ascii="宋体" w:hAnsi="宋体"/>
                <w:szCs w:val="21"/>
              </w:rPr>
              <w:t>内墙型</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trPr>
        <w:tc>
          <w:tcPr>
            <w:tcW w:w="681" w:type="dxa"/>
            <w:vMerge w:val="continue"/>
            <w:vAlign w:val="center"/>
          </w:tcPr>
          <w:p>
            <w:pPr>
              <w:jc w:val="center"/>
              <w:rPr>
                <w:rFonts w:ascii="宋体" w:hAnsi="宋体"/>
                <w:szCs w:val="21"/>
              </w:rPr>
            </w:pPr>
          </w:p>
        </w:tc>
        <w:tc>
          <w:tcPr>
            <w:tcW w:w="1947" w:type="dxa"/>
            <w:gridSpan w:val="2"/>
            <w:vMerge w:val="continue"/>
            <w:vAlign w:val="center"/>
          </w:tcPr>
          <w:p>
            <w:pPr>
              <w:jc w:val="center"/>
              <w:rPr>
                <w:rFonts w:ascii="宋体" w:hAnsi="宋体"/>
                <w:szCs w:val="21"/>
              </w:rPr>
            </w:pPr>
          </w:p>
        </w:tc>
        <w:tc>
          <w:tcPr>
            <w:tcW w:w="1606" w:type="dxa"/>
            <w:gridSpan w:val="2"/>
            <w:vAlign w:val="center"/>
          </w:tcPr>
          <w:p>
            <w:pPr>
              <w:jc w:val="center"/>
              <w:rPr>
                <w:rFonts w:ascii="宋体" w:hAnsi="宋体"/>
                <w:szCs w:val="21"/>
              </w:rPr>
            </w:pPr>
            <w:r>
              <w:rPr>
                <w:rFonts w:hint="eastAsia" w:ascii="宋体" w:hAnsi="宋体"/>
                <w:szCs w:val="21"/>
              </w:rPr>
              <w:t>外墙型</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w:t>
            </w:r>
            <w:r>
              <w:rPr>
                <w:rFonts w:hint="eastAsia" w:ascii="宋体" w:hAnsi="宋体"/>
                <w:szCs w:val="21"/>
              </w:rPr>
              <w:t>/T</w:t>
            </w:r>
            <w:r>
              <w:rPr>
                <w:rFonts w:ascii="宋体" w:hAnsi="宋体"/>
                <w:szCs w:val="21"/>
              </w:rPr>
              <w:t xml:space="preserve"> </w:t>
            </w:r>
            <w:r>
              <w:rPr>
                <w:rFonts w:hint="eastAsia" w:ascii="宋体" w:hAnsi="宋体"/>
                <w:szCs w:val="21"/>
              </w:rPr>
              <w:t>23933-2009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3" w:hRule="atLeast"/>
        </w:trPr>
        <w:tc>
          <w:tcPr>
            <w:tcW w:w="681" w:type="dxa"/>
            <w:vAlign w:val="center"/>
          </w:tcPr>
          <w:p>
            <w:pPr>
              <w:jc w:val="center"/>
              <w:rPr>
                <w:rFonts w:ascii="宋体" w:hAnsi="宋体"/>
                <w:szCs w:val="21"/>
              </w:rPr>
            </w:pPr>
            <w:r>
              <w:rPr>
                <w:rFonts w:hint="eastAsia" w:ascii="宋体" w:hAnsi="宋体"/>
                <w:szCs w:val="21"/>
              </w:rPr>
              <w:t>13</w:t>
            </w:r>
          </w:p>
        </w:tc>
        <w:tc>
          <w:tcPr>
            <w:tcW w:w="3553" w:type="dxa"/>
            <w:gridSpan w:val="4"/>
            <w:vAlign w:val="center"/>
          </w:tcPr>
          <w:p>
            <w:pPr>
              <w:jc w:val="center"/>
              <w:rPr>
                <w:rFonts w:ascii="宋体" w:hAnsi="宋体"/>
                <w:szCs w:val="21"/>
              </w:rPr>
            </w:pPr>
            <w:r>
              <w:rPr>
                <w:rFonts w:hint="eastAsia" w:ascii="宋体" w:hAnsi="宋体"/>
                <w:szCs w:val="21"/>
              </w:rPr>
              <w:t>可溶性重金属（铅、镉、铬、汞）</w:t>
            </w:r>
          </w:p>
        </w:tc>
        <w:tc>
          <w:tcPr>
            <w:tcW w:w="2414" w:type="dxa"/>
            <w:vAlign w:val="center"/>
          </w:tcPr>
          <w:p>
            <w:pPr>
              <w:jc w:val="center"/>
              <w:rPr>
                <w:rFonts w:ascii="宋体" w:hAnsi="宋体"/>
                <w:szCs w:val="21"/>
              </w:rPr>
            </w:pPr>
            <w:r>
              <w:rPr>
                <w:rFonts w:hint="eastAsia" w:ascii="宋体" w:hAnsi="宋体"/>
                <w:szCs w:val="21"/>
              </w:rPr>
              <w:t>GB 18582-2008</w:t>
            </w:r>
          </w:p>
        </w:tc>
        <w:tc>
          <w:tcPr>
            <w:tcW w:w="2445" w:type="dxa"/>
            <w:vAlign w:val="center"/>
          </w:tcPr>
          <w:p>
            <w:pPr>
              <w:jc w:val="center"/>
              <w:rPr>
                <w:rFonts w:ascii="宋体" w:hAnsi="宋体"/>
                <w:szCs w:val="21"/>
              </w:rPr>
            </w:pPr>
            <w:r>
              <w:rPr>
                <w:rFonts w:hint="eastAsia" w:ascii="宋体" w:hAnsi="宋体"/>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681" w:type="dxa"/>
            <w:vAlign w:val="center"/>
          </w:tcPr>
          <w:p>
            <w:pPr>
              <w:jc w:val="center"/>
              <w:rPr>
                <w:rFonts w:ascii="宋体" w:hAnsi="宋体"/>
                <w:szCs w:val="21"/>
              </w:rPr>
            </w:pPr>
            <w:r>
              <w:rPr>
                <w:rFonts w:hint="eastAsia" w:ascii="宋体" w:hAnsi="宋体"/>
                <w:szCs w:val="21"/>
              </w:rPr>
              <w:t>14</w:t>
            </w:r>
          </w:p>
        </w:tc>
        <w:tc>
          <w:tcPr>
            <w:tcW w:w="3553" w:type="dxa"/>
            <w:gridSpan w:val="4"/>
            <w:vAlign w:val="center"/>
          </w:tcPr>
          <w:p>
            <w:pPr>
              <w:jc w:val="center"/>
              <w:rPr>
                <w:rFonts w:ascii="宋体" w:hAnsi="宋体"/>
                <w:szCs w:val="21"/>
              </w:rPr>
            </w:pPr>
            <w:r>
              <w:rPr>
                <w:rFonts w:ascii="宋体" w:hAnsi="宋体"/>
                <w:szCs w:val="21"/>
              </w:rPr>
              <w:t>重金属</w:t>
            </w:r>
            <w:r>
              <w:rPr>
                <w:rFonts w:hint="eastAsia" w:ascii="宋体" w:hAnsi="宋体"/>
                <w:szCs w:val="21"/>
              </w:rPr>
              <w:t>含量</w:t>
            </w:r>
            <w:r>
              <w:rPr>
                <w:rFonts w:ascii="宋体" w:hAnsi="宋体"/>
                <w:szCs w:val="21"/>
              </w:rPr>
              <w:t>（铅、镉、六价铬、汞）</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ascii="宋体" w:hAnsi="宋体"/>
                <w:szCs w:val="21"/>
              </w:rPr>
            </w:pPr>
            <w:r>
              <w:rPr>
                <w:rFonts w:hint="eastAsia" w:ascii="宋体" w:hAnsi="宋体"/>
                <w:szCs w:val="21"/>
              </w:rPr>
              <w:t>15</w:t>
            </w:r>
          </w:p>
        </w:tc>
        <w:tc>
          <w:tcPr>
            <w:tcW w:w="3553" w:type="dxa"/>
            <w:gridSpan w:val="4"/>
            <w:vAlign w:val="center"/>
          </w:tcPr>
          <w:p>
            <w:pPr>
              <w:jc w:val="center"/>
              <w:rPr>
                <w:rFonts w:ascii="宋体" w:hAnsi="宋体"/>
                <w:szCs w:val="21"/>
              </w:rPr>
            </w:pPr>
            <w:r>
              <w:rPr>
                <w:rFonts w:ascii="宋体" w:hAnsi="宋体"/>
                <w:szCs w:val="21"/>
              </w:rPr>
              <w:t>乙二醇醚及醚酯含量总和</w:t>
            </w:r>
          </w:p>
        </w:tc>
        <w:tc>
          <w:tcPr>
            <w:tcW w:w="2414"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c>
          <w:tcPr>
            <w:tcW w:w="2445" w:type="dxa"/>
            <w:vAlign w:val="center"/>
          </w:tcPr>
          <w:p>
            <w:pPr>
              <w:jc w:val="center"/>
              <w:rPr>
                <w:rFonts w:ascii="宋体" w:hAnsi="宋体"/>
                <w:szCs w:val="21"/>
              </w:rPr>
            </w:pPr>
            <w:r>
              <w:rPr>
                <w:rFonts w:ascii="宋体" w:hAnsi="宋体"/>
                <w:szCs w:val="21"/>
              </w:rPr>
              <w:t>GB 24408</w:t>
            </w:r>
            <w:r>
              <w:rPr>
                <w:rFonts w:hint="eastAsia" w:ascii="宋体" w:hAnsi="宋体"/>
                <w:szCs w:val="21"/>
              </w:rPr>
              <w:t>-2009</w:t>
            </w:r>
          </w:p>
        </w:tc>
      </w:tr>
    </w:tbl>
    <w:p>
      <w:pPr>
        <w:snapToGrid w:val="0"/>
        <w:spacing w:line="440" w:lineRule="exact"/>
        <w:jc w:val="center"/>
        <w:rPr>
          <w:rFonts w:hint="eastAsia" w:ascii="宋体" w:hAnsi="宋体"/>
          <w:color w:val="000000" w:themeColor="text1"/>
          <w:szCs w:val="21"/>
          <w:lang w:val="en-US" w:eastAsia="zh-CN"/>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 xml:space="preserve"> 检验项目</w:t>
      </w:r>
      <w:r>
        <w:rPr>
          <w:rFonts w:hint="eastAsia" w:ascii="宋体" w:hAnsi="宋体"/>
          <w:color w:val="000000" w:themeColor="text1"/>
          <w:szCs w:val="21"/>
          <w:lang w:val="en-US" w:eastAsia="zh-CN"/>
        </w:rPr>
        <w:t>(2020年12月1日（含）后生产的产品)</w:t>
      </w:r>
    </w:p>
    <w:tbl>
      <w:tblPr>
        <w:tblStyle w:val="4"/>
        <w:tblW w:w="90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071"/>
        <w:gridCol w:w="876"/>
        <w:gridCol w:w="39"/>
        <w:gridCol w:w="1567"/>
        <w:gridCol w:w="2414"/>
        <w:gridCol w:w="24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blHeader/>
        </w:trPr>
        <w:tc>
          <w:tcPr>
            <w:tcW w:w="681" w:type="dxa"/>
            <w:vAlign w:val="center"/>
          </w:tcPr>
          <w:p>
            <w:pPr>
              <w:jc w:val="center"/>
              <w:rPr>
                <w:rFonts w:ascii="宋体" w:hAnsi="宋体"/>
                <w:szCs w:val="21"/>
              </w:rPr>
            </w:pPr>
            <w:r>
              <w:rPr>
                <w:rFonts w:hint="eastAsia" w:ascii="宋体" w:hAnsi="宋体"/>
                <w:szCs w:val="21"/>
              </w:rPr>
              <w:t>序号</w:t>
            </w:r>
          </w:p>
        </w:tc>
        <w:tc>
          <w:tcPr>
            <w:tcW w:w="3553" w:type="dxa"/>
            <w:gridSpan w:val="4"/>
            <w:vAlign w:val="center"/>
          </w:tcPr>
          <w:p>
            <w:pPr>
              <w:jc w:val="center"/>
              <w:rPr>
                <w:rFonts w:ascii="宋体" w:hAnsi="宋体"/>
                <w:szCs w:val="21"/>
              </w:rPr>
            </w:pPr>
            <w:r>
              <w:rPr>
                <w:rFonts w:hint="eastAsia" w:ascii="宋体" w:hAnsi="宋体"/>
                <w:szCs w:val="21"/>
              </w:rPr>
              <w:t>检验项目</w:t>
            </w:r>
          </w:p>
        </w:tc>
        <w:tc>
          <w:tcPr>
            <w:tcW w:w="2414" w:type="dxa"/>
            <w:vAlign w:val="center"/>
          </w:tcPr>
          <w:p>
            <w:pPr>
              <w:jc w:val="center"/>
              <w:rPr>
                <w:rFonts w:ascii="宋体" w:hAnsi="宋体"/>
                <w:szCs w:val="21"/>
              </w:rPr>
            </w:pPr>
            <w:r>
              <w:rPr>
                <w:rFonts w:hint="eastAsia" w:ascii="宋体" w:hAnsi="宋体"/>
                <w:szCs w:val="21"/>
              </w:rPr>
              <w:t>判定依据</w:t>
            </w:r>
          </w:p>
        </w:tc>
        <w:tc>
          <w:tcPr>
            <w:tcW w:w="2445" w:type="dxa"/>
            <w:vAlign w:val="center"/>
          </w:tcPr>
          <w:p>
            <w:pPr>
              <w:jc w:val="center"/>
              <w:rPr>
                <w:rFonts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1</w:t>
            </w:r>
          </w:p>
        </w:tc>
        <w:tc>
          <w:tcPr>
            <w:tcW w:w="1071" w:type="dxa"/>
            <w:vMerge w:val="restart"/>
            <w:vAlign w:val="center"/>
          </w:tcPr>
          <w:p>
            <w:pPr>
              <w:jc w:val="center"/>
              <w:rPr>
                <w:rFonts w:ascii="宋体" w:hAnsi="宋体"/>
                <w:szCs w:val="21"/>
              </w:rPr>
            </w:pPr>
            <w:r>
              <w:rPr>
                <w:rFonts w:hint="eastAsia" w:ascii="宋体" w:hAnsi="宋体"/>
                <w:szCs w:val="21"/>
              </w:rPr>
              <w:t>主涂料</w:t>
            </w:r>
          </w:p>
        </w:tc>
        <w:tc>
          <w:tcPr>
            <w:tcW w:w="2482" w:type="dxa"/>
            <w:gridSpan w:val="3"/>
            <w:vAlign w:val="center"/>
          </w:tcPr>
          <w:p>
            <w:pPr>
              <w:jc w:val="center"/>
              <w:rPr>
                <w:rFonts w:ascii="宋体" w:hAnsi="宋体"/>
                <w:szCs w:val="21"/>
              </w:rPr>
            </w:pPr>
            <w:r>
              <w:rPr>
                <w:rFonts w:hint="eastAsia" w:ascii="宋体" w:hAnsi="宋体"/>
                <w:szCs w:val="21"/>
              </w:rPr>
              <w:t>低温稳定性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9268-2008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2</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热贮存稳定性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3</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吸水量</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4</w:t>
            </w:r>
          </w:p>
        </w:tc>
        <w:tc>
          <w:tcPr>
            <w:tcW w:w="1071" w:type="dxa"/>
            <w:vMerge w:val="restart"/>
            <w:vAlign w:val="center"/>
          </w:tcPr>
          <w:p>
            <w:pPr>
              <w:jc w:val="center"/>
              <w:rPr>
                <w:rFonts w:ascii="宋体" w:hAnsi="宋体"/>
                <w:szCs w:val="21"/>
              </w:rPr>
            </w:pPr>
            <w:r>
              <w:rPr>
                <w:rFonts w:hint="eastAsia" w:ascii="宋体" w:hAnsi="宋体"/>
                <w:szCs w:val="21"/>
              </w:rPr>
              <w:t>涂层体系</w:t>
            </w:r>
          </w:p>
        </w:tc>
        <w:tc>
          <w:tcPr>
            <w:tcW w:w="2482" w:type="dxa"/>
            <w:gridSpan w:val="3"/>
            <w:vAlign w:val="center"/>
          </w:tcPr>
          <w:p>
            <w:pPr>
              <w:jc w:val="center"/>
              <w:rPr>
                <w:rFonts w:ascii="宋体" w:hAnsi="宋体"/>
                <w:szCs w:val="21"/>
              </w:rPr>
            </w:pPr>
            <w:r>
              <w:rPr>
                <w:rFonts w:hint="eastAsia" w:ascii="宋体" w:hAnsi="宋体"/>
                <w:szCs w:val="21"/>
              </w:rPr>
              <w:t>耐水性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GB/T 17</w:t>
            </w:r>
            <w:r>
              <w:rPr>
                <w:rFonts w:hint="eastAsia" w:ascii="宋体" w:hAnsi="宋体"/>
                <w:szCs w:val="21"/>
              </w:rPr>
              <w:t>33-1993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2" w:hRule="atLeast"/>
        </w:trPr>
        <w:tc>
          <w:tcPr>
            <w:tcW w:w="681" w:type="dxa"/>
            <w:vAlign w:val="center"/>
          </w:tcPr>
          <w:p>
            <w:pPr>
              <w:jc w:val="center"/>
              <w:rPr>
                <w:rFonts w:ascii="宋体" w:hAnsi="宋体"/>
                <w:szCs w:val="21"/>
              </w:rPr>
            </w:pPr>
            <w:r>
              <w:rPr>
                <w:rFonts w:hint="eastAsia" w:ascii="宋体" w:hAnsi="宋体"/>
                <w:szCs w:val="21"/>
              </w:rPr>
              <w:t>5</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耐碱性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ascii="宋体" w:hAnsi="宋体"/>
                <w:szCs w:val="21"/>
              </w:rPr>
              <w:t xml:space="preserve">GB/T </w:t>
            </w:r>
            <w:r>
              <w:rPr>
                <w:rFonts w:hint="eastAsia" w:ascii="宋体" w:hAnsi="宋体"/>
                <w:szCs w:val="21"/>
              </w:rPr>
              <w:t>9265-2009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6</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涂层耐温变性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25-2017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81" w:type="dxa"/>
            <w:vAlign w:val="center"/>
          </w:tcPr>
          <w:p>
            <w:pPr>
              <w:jc w:val="center"/>
              <w:rPr>
                <w:rFonts w:ascii="宋体" w:hAnsi="宋体"/>
                <w:szCs w:val="21"/>
              </w:rPr>
            </w:pPr>
            <w:r>
              <w:rPr>
                <w:rFonts w:hint="eastAsia" w:ascii="宋体" w:hAnsi="宋体"/>
                <w:szCs w:val="21"/>
              </w:rPr>
              <w:t>7</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耐沾污性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9780-2013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81" w:type="dxa"/>
            <w:vMerge w:val="restart"/>
            <w:vAlign w:val="center"/>
          </w:tcPr>
          <w:p>
            <w:pPr>
              <w:jc w:val="center"/>
              <w:rPr>
                <w:rFonts w:ascii="宋体" w:hAnsi="宋体"/>
                <w:szCs w:val="21"/>
              </w:rPr>
            </w:pPr>
            <w:r>
              <w:rPr>
                <w:rFonts w:hint="eastAsia" w:ascii="宋体" w:hAnsi="宋体"/>
                <w:szCs w:val="21"/>
              </w:rPr>
              <w:t>8</w:t>
            </w:r>
          </w:p>
        </w:tc>
        <w:tc>
          <w:tcPr>
            <w:tcW w:w="1071" w:type="dxa"/>
            <w:vMerge w:val="continue"/>
            <w:vAlign w:val="center"/>
          </w:tcPr>
          <w:p>
            <w:pPr>
              <w:jc w:val="center"/>
              <w:rPr>
                <w:rFonts w:ascii="宋体" w:hAnsi="宋体"/>
                <w:szCs w:val="21"/>
              </w:rPr>
            </w:pPr>
          </w:p>
        </w:tc>
        <w:tc>
          <w:tcPr>
            <w:tcW w:w="915" w:type="dxa"/>
            <w:gridSpan w:val="2"/>
            <w:vMerge w:val="restart"/>
            <w:vAlign w:val="center"/>
          </w:tcPr>
          <w:p>
            <w:pPr>
              <w:jc w:val="center"/>
              <w:rPr>
                <w:rFonts w:ascii="宋体" w:hAnsi="宋体"/>
                <w:szCs w:val="21"/>
              </w:rPr>
            </w:pPr>
            <w:r>
              <w:rPr>
                <w:rFonts w:hint="eastAsia" w:ascii="宋体" w:hAnsi="宋体"/>
                <w:szCs w:val="21"/>
              </w:rPr>
              <w:t>粘结强度</w:t>
            </w:r>
          </w:p>
        </w:tc>
        <w:tc>
          <w:tcPr>
            <w:tcW w:w="1567" w:type="dxa"/>
            <w:vAlign w:val="center"/>
          </w:tcPr>
          <w:p>
            <w:pPr>
              <w:jc w:val="center"/>
              <w:rPr>
                <w:rFonts w:ascii="宋体" w:hAnsi="宋体"/>
                <w:szCs w:val="21"/>
              </w:rPr>
            </w:pPr>
            <w:r>
              <w:rPr>
                <w:rFonts w:hint="eastAsia" w:ascii="宋体" w:hAnsi="宋体"/>
                <w:szCs w:val="21"/>
              </w:rPr>
              <w:t>标准状态</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24-2018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681" w:type="dxa"/>
            <w:vMerge w:val="continue"/>
            <w:vAlign w:val="center"/>
          </w:tcPr>
          <w:p>
            <w:pPr>
              <w:jc w:val="center"/>
              <w:rPr>
                <w:rFonts w:ascii="宋体" w:hAnsi="宋体"/>
                <w:szCs w:val="21"/>
              </w:rPr>
            </w:pPr>
          </w:p>
        </w:tc>
        <w:tc>
          <w:tcPr>
            <w:tcW w:w="1071" w:type="dxa"/>
            <w:vMerge w:val="continue"/>
            <w:vAlign w:val="center"/>
          </w:tcPr>
          <w:p>
            <w:pPr>
              <w:jc w:val="center"/>
              <w:rPr>
                <w:rFonts w:ascii="宋体" w:hAnsi="宋体"/>
                <w:szCs w:val="21"/>
              </w:rPr>
            </w:pPr>
          </w:p>
        </w:tc>
        <w:tc>
          <w:tcPr>
            <w:tcW w:w="915" w:type="dxa"/>
            <w:gridSpan w:val="2"/>
            <w:vMerge w:val="continue"/>
            <w:vAlign w:val="center"/>
          </w:tcPr>
          <w:p>
            <w:pPr>
              <w:jc w:val="center"/>
              <w:rPr>
                <w:rFonts w:ascii="宋体" w:hAnsi="宋体"/>
                <w:szCs w:val="21"/>
              </w:rPr>
            </w:pPr>
          </w:p>
        </w:tc>
        <w:tc>
          <w:tcPr>
            <w:tcW w:w="1567" w:type="dxa"/>
            <w:vAlign w:val="center"/>
          </w:tcPr>
          <w:p>
            <w:pPr>
              <w:jc w:val="center"/>
              <w:rPr>
                <w:rFonts w:ascii="宋体" w:hAnsi="宋体"/>
                <w:szCs w:val="21"/>
              </w:rPr>
            </w:pPr>
            <w:r>
              <w:rPr>
                <w:rFonts w:hint="eastAsia" w:ascii="宋体" w:hAnsi="宋体"/>
                <w:szCs w:val="21"/>
              </w:rPr>
              <w:t>冻融循环</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JG/T 157-2009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81" w:type="dxa"/>
            <w:vAlign w:val="center"/>
          </w:tcPr>
          <w:p>
            <w:pPr>
              <w:jc w:val="center"/>
              <w:rPr>
                <w:rFonts w:ascii="宋体" w:hAnsi="宋体"/>
                <w:szCs w:val="21"/>
              </w:rPr>
            </w:pPr>
            <w:r>
              <w:rPr>
                <w:rFonts w:hint="eastAsia" w:ascii="宋体" w:hAnsi="宋体"/>
                <w:szCs w:val="21"/>
              </w:rPr>
              <w:t>9</w:t>
            </w:r>
          </w:p>
        </w:tc>
        <w:tc>
          <w:tcPr>
            <w:tcW w:w="1071" w:type="dxa"/>
            <w:vMerge w:val="continue"/>
            <w:vAlign w:val="center"/>
          </w:tcPr>
          <w:p>
            <w:pPr>
              <w:jc w:val="center"/>
              <w:rPr>
                <w:rFonts w:ascii="宋体" w:hAnsi="宋体"/>
                <w:szCs w:val="21"/>
              </w:rPr>
            </w:pPr>
          </w:p>
        </w:tc>
        <w:tc>
          <w:tcPr>
            <w:tcW w:w="2482" w:type="dxa"/>
            <w:gridSpan w:val="3"/>
            <w:vAlign w:val="center"/>
          </w:tcPr>
          <w:p>
            <w:pPr>
              <w:jc w:val="center"/>
              <w:rPr>
                <w:rFonts w:ascii="宋体" w:hAnsi="宋体"/>
                <w:szCs w:val="21"/>
              </w:rPr>
            </w:pPr>
            <w:r>
              <w:rPr>
                <w:rFonts w:hint="eastAsia" w:ascii="宋体" w:hAnsi="宋体"/>
                <w:szCs w:val="21"/>
              </w:rPr>
              <w:t>柔韧性</w:t>
            </w:r>
          </w:p>
        </w:tc>
        <w:tc>
          <w:tcPr>
            <w:tcW w:w="2414" w:type="dxa"/>
            <w:vAlign w:val="center"/>
          </w:tcPr>
          <w:p>
            <w:pPr>
              <w:jc w:val="center"/>
              <w:rPr>
                <w:rFonts w:ascii="宋体" w:hAnsi="宋体"/>
                <w:szCs w:val="21"/>
              </w:rPr>
            </w:pPr>
            <w:r>
              <w:rPr>
                <w:rFonts w:hint="eastAsia" w:ascii="宋体" w:hAnsi="宋体"/>
                <w:szCs w:val="21"/>
              </w:rPr>
              <w:t>JG/T 24-2018</w:t>
            </w:r>
          </w:p>
        </w:tc>
        <w:tc>
          <w:tcPr>
            <w:tcW w:w="2445" w:type="dxa"/>
            <w:vAlign w:val="center"/>
          </w:tcPr>
          <w:p>
            <w:pPr>
              <w:jc w:val="center"/>
              <w:rPr>
                <w:rFonts w:ascii="宋体" w:hAnsi="宋体"/>
                <w:szCs w:val="21"/>
              </w:rPr>
            </w:pPr>
            <w:r>
              <w:rPr>
                <w:rFonts w:hint="eastAsia" w:ascii="宋体" w:hAnsi="宋体"/>
                <w:szCs w:val="21"/>
              </w:rPr>
              <w:t>GB/T 1748-1979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681" w:type="dxa"/>
            <w:vMerge w:val="restart"/>
            <w:vAlign w:val="center"/>
          </w:tcPr>
          <w:p>
            <w:pPr>
              <w:jc w:val="center"/>
              <w:rPr>
                <w:rFonts w:hint="default" w:ascii="宋体" w:hAnsi="宋体" w:eastAsia="宋体"/>
                <w:szCs w:val="21"/>
                <w:lang w:val="en-US" w:eastAsia="zh-CN"/>
              </w:rPr>
            </w:pPr>
            <w:r>
              <w:rPr>
                <w:rFonts w:hint="eastAsia" w:ascii="宋体" w:hAnsi="宋体"/>
                <w:szCs w:val="21"/>
                <w:lang w:val="en-US" w:eastAsia="zh-CN"/>
              </w:rPr>
              <w:t>10</w:t>
            </w:r>
          </w:p>
        </w:tc>
        <w:tc>
          <w:tcPr>
            <w:tcW w:w="1947" w:type="dxa"/>
            <w:gridSpan w:val="2"/>
            <w:vMerge w:val="restart"/>
            <w:vAlign w:val="center"/>
          </w:tcPr>
          <w:p>
            <w:pPr>
              <w:jc w:val="center"/>
              <w:rPr>
                <w:rFonts w:ascii="宋体" w:hAnsi="宋体"/>
                <w:szCs w:val="21"/>
              </w:rPr>
            </w:pPr>
            <w:r>
              <w:rPr>
                <w:rFonts w:hint="eastAsia" w:ascii="宋体" w:hAnsi="宋体"/>
                <w:szCs w:val="21"/>
              </w:rPr>
              <w:t>VOC含量</w:t>
            </w:r>
            <w:r>
              <w:rPr>
                <w:rFonts w:hint="eastAsia" w:ascii="宋体" w:hAnsi="宋体"/>
                <w:szCs w:val="21"/>
                <w:vertAlign w:val="superscript"/>
                <w:lang w:eastAsia="zh-CN"/>
              </w:rPr>
              <w:t>①</w:t>
            </w:r>
          </w:p>
        </w:tc>
        <w:tc>
          <w:tcPr>
            <w:tcW w:w="1606" w:type="dxa"/>
            <w:gridSpan w:val="2"/>
            <w:vAlign w:val="center"/>
          </w:tcPr>
          <w:p>
            <w:pPr>
              <w:jc w:val="center"/>
              <w:rPr>
                <w:rFonts w:hint="eastAsia" w:ascii="宋体" w:hAnsi="宋体" w:eastAsia="宋体"/>
                <w:szCs w:val="21"/>
                <w:lang w:val="en-US" w:eastAsia="zh-CN"/>
              </w:rPr>
            </w:pPr>
            <w:r>
              <w:rPr>
                <w:rFonts w:hint="eastAsia" w:ascii="宋体" w:hAnsi="宋体"/>
                <w:szCs w:val="21"/>
              </w:rPr>
              <w:t>内墙型</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 w:hRule="atLeast"/>
        </w:trPr>
        <w:tc>
          <w:tcPr>
            <w:tcW w:w="681" w:type="dxa"/>
            <w:vMerge w:val="continue"/>
            <w:vAlign w:val="center"/>
          </w:tcPr>
          <w:p>
            <w:pPr>
              <w:jc w:val="center"/>
              <w:rPr>
                <w:rFonts w:ascii="宋体" w:hAnsi="宋体"/>
                <w:szCs w:val="21"/>
              </w:rPr>
            </w:pPr>
          </w:p>
        </w:tc>
        <w:tc>
          <w:tcPr>
            <w:tcW w:w="1947" w:type="dxa"/>
            <w:gridSpan w:val="2"/>
            <w:vMerge w:val="continue"/>
            <w:vAlign w:val="center"/>
          </w:tcPr>
          <w:p>
            <w:pPr>
              <w:jc w:val="center"/>
              <w:rPr>
                <w:rFonts w:ascii="宋体" w:hAnsi="宋体"/>
                <w:szCs w:val="21"/>
              </w:rPr>
            </w:pPr>
          </w:p>
        </w:tc>
        <w:tc>
          <w:tcPr>
            <w:tcW w:w="1606" w:type="dxa"/>
            <w:gridSpan w:val="2"/>
            <w:vAlign w:val="center"/>
          </w:tcPr>
          <w:p>
            <w:pPr>
              <w:jc w:val="center"/>
              <w:rPr>
                <w:rFonts w:ascii="宋体" w:hAnsi="宋体"/>
                <w:szCs w:val="21"/>
              </w:rPr>
            </w:pPr>
            <w:r>
              <w:rPr>
                <w:rFonts w:hint="eastAsia" w:ascii="宋体" w:hAnsi="宋体"/>
                <w:szCs w:val="21"/>
              </w:rPr>
              <w:t>外墙型</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11</w:t>
            </w:r>
          </w:p>
        </w:tc>
        <w:tc>
          <w:tcPr>
            <w:tcW w:w="3553" w:type="dxa"/>
            <w:gridSpan w:val="4"/>
            <w:vAlign w:val="center"/>
          </w:tcPr>
          <w:p>
            <w:pPr>
              <w:jc w:val="center"/>
              <w:rPr>
                <w:rFonts w:ascii="宋体" w:hAnsi="宋体"/>
                <w:szCs w:val="21"/>
              </w:rPr>
            </w:pPr>
            <w:r>
              <w:rPr>
                <w:rFonts w:hint="eastAsia" w:ascii="宋体" w:hAnsi="宋体"/>
                <w:szCs w:val="21"/>
              </w:rPr>
              <w:t>甲醛含量</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12</w:t>
            </w:r>
          </w:p>
        </w:tc>
        <w:tc>
          <w:tcPr>
            <w:tcW w:w="3553" w:type="dxa"/>
            <w:gridSpan w:val="4"/>
            <w:vAlign w:val="center"/>
          </w:tcPr>
          <w:p>
            <w:pPr>
              <w:jc w:val="center"/>
              <w:rPr>
                <w:rFonts w:hint="eastAsia" w:ascii="宋体" w:hAnsi="宋体"/>
                <w:szCs w:val="21"/>
              </w:rPr>
            </w:pPr>
            <w:r>
              <w:rPr>
                <w:rFonts w:hint="eastAsia" w:ascii="宋体" w:hAnsi="宋体"/>
                <w:szCs w:val="21"/>
              </w:rPr>
              <w:t>苯系物总和含量</w:t>
            </w:r>
          </w:p>
          <w:p>
            <w:pPr>
              <w:jc w:val="center"/>
              <w:rPr>
                <w:rFonts w:hint="default" w:ascii="宋体" w:hAnsi="宋体" w:eastAsia="宋体"/>
                <w:szCs w:val="21"/>
                <w:lang w:val="en-US" w:eastAsia="zh-CN"/>
              </w:rPr>
            </w:pPr>
            <w:r>
              <w:rPr>
                <w:rFonts w:hint="eastAsia" w:ascii="宋体" w:hAnsi="宋体"/>
                <w:szCs w:val="21"/>
                <w:lang w:val="en-US" w:eastAsia="zh-CN"/>
              </w:rPr>
              <w:t>[限苯、甲苯、二甲苯(含乙苯)]</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13</w:t>
            </w:r>
          </w:p>
        </w:tc>
        <w:tc>
          <w:tcPr>
            <w:tcW w:w="3553" w:type="dxa"/>
            <w:gridSpan w:val="4"/>
            <w:vAlign w:val="center"/>
          </w:tcPr>
          <w:p>
            <w:pPr>
              <w:jc w:val="center"/>
              <w:rPr>
                <w:rFonts w:hint="eastAsia" w:ascii="宋体" w:hAnsi="宋体"/>
                <w:szCs w:val="21"/>
              </w:rPr>
            </w:pPr>
            <w:r>
              <w:rPr>
                <w:rFonts w:hint="eastAsia" w:ascii="宋体" w:hAnsi="宋体"/>
                <w:szCs w:val="21"/>
              </w:rPr>
              <w:t>总铅(Pb)含量</w:t>
            </w:r>
          </w:p>
          <w:p>
            <w:pPr>
              <w:jc w:val="center"/>
              <w:rPr>
                <w:rFonts w:hint="default" w:ascii="宋体" w:hAnsi="宋体" w:eastAsia="宋体"/>
                <w:szCs w:val="21"/>
                <w:lang w:val="en-US" w:eastAsia="zh-CN"/>
              </w:rPr>
            </w:pPr>
            <w:r>
              <w:rPr>
                <w:rFonts w:hint="eastAsia" w:ascii="宋体" w:hAnsi="宋体"/>
                <w:szCs w:val="21"/>
                <w:lang w:val="en-US" w:eastAsia="zh-CN"/>
              </w:rPr>
              <w:t>[限色漆和腻子]</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trPr>
        <w:tc>
          <w:tcPr>
            <w:tcW w:w="681"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14</w:t>
            </w:r>
          </w:p>
        </w:tc>
        <w:tc>
          <w:tcPr>
            <w:tcW w:w="3553" w:type="dxa"/>
            <w:gridSpan w:val="4"/>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hint="default" w:ascii="宋体" w:hAnsi="宋体" w:eastAsia="宋体"/>
                <w:szCs w:val="21"/>
                <w:lang w:val="en-US" w:eastAsia="zh-CN"/>
              </w:rPr>
            </w:pPr>
            <w:r>
              <w:rPr>
                <w:rFonts w:hint="eastAsia" w:ascii="宋体" w:hAnsi="宋体"/>
                <w:szCs w:val="21"/>
                <w:lang w:val="en-US" w:eastAsia="zh-CN"/>
              </w:rPr>
              <w:t>[限色漆和腻子]</w:t>
            </w:r>
          </w:p>
        </w:tc>
        <w:tc>
          <w:tcPr>
            <w:tcW w:w="2414" w:type="dxa"/>
            <w:vAlign w:val="center"/>
          </w:tcPr>
          <w:p>
            <w:pPr>
              <w:jc w:val="center"/>
              <w:rPr>
                <w:rFonts w:ascii="宋体" w:hAnsi="宋体"/>
                <w:szCs w:val="21"/>
              </w:rPr>
            </w:pPr>
            <w:r>
              <w:rPr>
                <w:rFonts w:hint="eastAsia" w:ascii="宋体" w:hAnsi="宋体"/>
                <w:szCs w:val="21"/>
              </w:rPr>
              <w:t>GB 18582-2020</w:t>
            </w:r>
          </w:p>
        </w:tc>
        <w:tc>
          <w:tcPr>
            <w:tcW w:w="2445" w:type="dxa"/>
            <w:vAlign w:val="center"/>
          </w:tcPr>
          <w:p>
            <w:pPr>
              <w:jc w:val="center"/>
              <w:rPr>
                <w:rFonts w:ascii="宋体" w:hAnsi="宋体"/>
                <w:szCs w:val="21"/>
              </w:rPr>
            </w:pPr>
            <w:r>
              <w:rPr>
                <w:rFonts w:hint="eastAsia" w:ascii="宋体" w:hAnsi="宋体"/>
                <w:szCs w:val="21"/>
              </w:rPr>
              <w:t>GB 18582-2020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 xml:space="preserve">GB 18582-2008 建筑用内墙涂料中有害物质限量 </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 24408-2009 建筑用外墙涂料中有害物质限量</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GB 18582-2020 建筑用墙面涂料中有害物质限量</w:t>
      </w:r>
    </w:p>
    <w:p>
      <w:pPr>
        <w:snapToGrid w:val="0"/>
        <w:spacing w:line="440" w:lineRule="exact"/>
        <w:ind w:firstLine="405"/>
        <w:rPr>
          <w:rFonts w:asciiTheme="minorEastAsia" w:hAnsiTheme="minorEastAsia" w:eastAsiaTheme="minorEastAsia"/>
          <w:color w:val="000000" w:themeColor="text1"/>
          <w:szCs w:val="21"/>
        </w:rPr>
      </w:pPr>
      <w:r>
        <w:rPr>
          <w:rFonts w:hint="eastAsia" w:ascii="宋体" w:hAnsi="宋体"/>
          <w:color w:val="000000" w:themeColor="text1"/>
          <w:szCs w:val="21"/>
        </w:rPr>
        <w:t xml:space="preserve">JG/T 24-2018 </w:t>
      </w:r>
      <w:r>
        <w:rPr>
          <w:rFonts w:hint="eastAsia"/>
          <w:color w:val="000000" w:themeColor="text1"/>
          <w:szCs w:val="21"/>
        </w:rPr>
        <w:t>合成树脂乳液砂壁状建筑涂料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color w:val="000000"/>
          <w:szCs w:val="21"/>
        </w:rPr>
      </w:pPr>
      <w:bookmarkStart w:id="0" w:name="_GoBack"/>
      <w:r>
        <w:rPr>
          <w:rFonts w:hint="eastAsia" w:ascii="宋体" w:hAnsi="宋体"/>
          <w:color w:val="000000"/>
          <w:szCs w:val="21"/>
        </w:rPr>
        <w:t>经检验，检验项目全部合格，判定为被抽查产品所检项目未发现不合格；检验项目中任一项或一项以上不合格，判定为被抽查产品不合格。</w:t>
      </w:r>
    </w:p>
    <w:bookmarkEnd w:id="0"/>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szCs w:val="21"/>
        </w:rPr>
      </w:pPr>
      <w:r>
        <w:rPr>
          <w:rFonts w:hint="eastAsia" w:ascii="宋体" w:hAnsi="宋体"/>
          <w:color w:val="000000"/>
          <w:szCs w:val="21"/>
        </w:rPr>
        <w:t>若被检产品明示的质量要求低于</w:t>
      </w:r>
      <w:r>
        <w:rPr>
          <w:rFonts w:hint="eastAsia" w:ascii="宋体" w:hAnsi="宋体"/>
          <w:szCs w:val="21"/>
        </w:rPr>
        <w:t>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4E1C1B"/>
    <w:rsid w:val="0003552D"/>
    <w:rsid w:val="00063497"/>
    <w:rsid w:val="00093590"/>
    <w:rsid w:val="000F6EA4"/>
    <w:rsid w:val="00294840"/>
    <w:rsid w:val="002E523C"/>
    <w:rsid w:val="003A113D"/>
    <w:rsid w:val="004302BD"/>
    <w:rsid w:val="004E1AD2"/>
    <w:rsid w:val="004E1C1B"/>
    <w:rsid w:val="00593837"/>
    <w:rsid w:val="00600167"/>
    <w:rsid w:val="00605616"/>
    <w:rsid w:val="0064396E"/>
    <w:rsid w:val="00683C3C"/>
    <w:rsid w:val="006E7112"/>
    <w:rsid w:val="00707FEE"/>
    <w:rsid w:val="00761763"/>
    <w:rsid w:val="00787D84"/>
    <w:rsid w:val="00882B8A"/>
    <w:rsid w:val="0092324A"/>
    <w:rsid w:val="00953298"/>
    <w:rsid w:val="00A472C3"/>
    <w:rsid w:val="00B426B1"/>
    <w:rsid w:val="00C81E85"/>
    <w:rsid w:val="00D57929"/>
    <w:rsid w:val="00DD5955"/>
    <w:rsid w:val="00EA5F26"/>
    <w:rsid w:val="00EB1677"/>
    <w:rsid w:val="00ED3B39"/>
    <w:rsid w:val="04473FAF"/>
    <w:rsid w:val="05CF0710"/>
    <w:rsid w:val="090F70A8"/>
    <w:rsid w:val="0CEB23EE"/>
    <w:rsid w:val="1079662A"/>
    <w:rsid w:val="10F07EBD"/>
    <w:rsid w:val="11BC522E"/>
    <w:rsid w:val="11D02F1C"/>
    <w:rsid w:val="12566E74"/>
    <w:rsid w:val="145C5D90"/>
    <w:rsid w:val="15D61EE1"/>
    <w:rsid w:val="18F46A8A"/>
    <w:rsid w:val="1C603676"/>
    <w:rsid w:val="1F4F1AB7"/>
    <w:rsid w:val="21EA2FFA"/>
    <w:rsid w:val="22830F8A"/>
    <w:rsid w:val="228E6A8C"/>
    <w:rsid w:val="25C9299F"/>
    <w:rsid w:val="268325C1"/>
    <w:rsid w:val="2747716F"/>
    <w:rsid w:val="28BD56D3"/>
    <w:rsid w:val="2A0D1319"/>
    <w:rsid w:val="2B190940"/>
    <w:rsid w:val="2BB029DC"/>
    <w:rsid w:val="2CC51C86"/>
    <w:rsid w:val="2D8C2A76"/>
    <w:rsid w:val="2E134912"/>
    <w:rsid w:val="2F673294"/>
    <w:rsid w:val="2FB6728B"/>
    <w:rsid w:val="30E709BB"/>
    <w:rsid w:val="31B27E69"/>
    <w:rsid w:val="31CB6E01"/>
    <w:rsid w:val="3BBC5503"/>
    <w:rsid w:val="41977629"/>
    <w:rsid w:val="47BE4EAE"/>
    <w:rsid w:val="48466520"/>
    <w:rsid w:val="487E7977"/>
    <w:rsid w:val="4C6518F0"/>
    <w:rsid w:val="575C14AB"/>
    <w:rsid w:val="57BF4E47"/>
    <w:rsid w:val="5AEB6C81"/>
    <w:rsid w:val="5C3A29BD"/>
    <w:rsid w:val="5D172BB8"/>
    <w:rsid w:val="651A6E90"/>
    <w:rsid w:val="65686B2F"/>
    <w:rsid w:val="6C737F56"/>
    <w:rsid w:val="6D7661D8"/>
    <w:rsid w:val="6E5E0FD4"/>
    <w:rsid w:val="6EF92B9C"/>
    <w:rsid w:val="7531196E"/>
    <w:rsid w:val="76391076"/>
    <w:rsid w:val="7D560628"/>
    <w:rsid w:val="7F062C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262</Words>
  <Characters>1495</Characters>
  <Lines>12</Lines>
  <Paragraphs>3</Paragraphs>
  <TotalTime>2</TotalTime>
  <ScaleCrop>false</ScaleCrop>
  <LinksUpToDate>false</LinksUpToDate>
  <CharactersWithSpaces>1754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2021-12-31T02:14:44Z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DAF6553F361F48C1BF4D3CE88FE6A559</vt:lpwstr>
  </property>
</Properties>
</file>