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b w:val="0"/>
          <w:bCs w:val="0"/>
          <w:color w:val="000000"/>
          <w:sz w:val="32"/>
          <w:szCs w:val="32"/>
          <w:lang w:eastAsia="zh-CN"/>
        </w:rPr>
      </w:pPr>
      <w:r>
        <w:rPr>
          <w:rFonts w:hint="eastAsia" w:ascii="方正小标宋简体" w:hAnsi="仿宋" w:eastAsia="方正小标宋简体" w:cs="方正仿宋简体"/>
          <w:b w:val="0"/>
          <w:bCs w:val="0"/>
          <w:color w:val="000000"/>
          <w:sz w:val="32"/>
          <w:szCs w:val="32"/>
        </w:rPr>
        <w:t>重庆市</w:t>
      </w:r>
      <w:r>
        <w:rPr>
          <w:rFonts w:hint="eastAsia" w:ascii="方正小标宋简体" w:hAnsi="仿宋" w:eastAsia="方正小标宋简体" w:cs="方正仿宋简体"/>
          <w:b w:val="0"/>
          <w:bCs w:val="0"/>
          <w:color w:val="000000"/>
          <w:sz w:val="32"/>
          <w:szCs w:val="32"/>
          <w:lang w:eastAsia="zh-CN"/>
        </w:rPr>
        <w:t>建筑室内用腻子</w:t>
      </w:r>
      <w:r>
        <w:rPr>
          <w:rFonts w:hint="eastAsia" w:ascii="方正小标宋简体" w:hAnsi="仿宋" w:eastAsia="方正小标宋简体" w:cs="方正仿宋简体"/>
          <w:b w:val="0"/>
          <w:bCs w:val="0"/>
          <w:color w:val="000000"/>
          <w:sz w:val="32"/>
          <w:szCs w:val="32"/>
        </w:rPr>
        <w:t>产品质量监督抽查实施细则</w:t>
      </w:r>
      <w:r>
        <w:rPr>
          <w:rFonts w:hint="eastAsia" w:ascii="方正小标宋简体" w:hAnsi="仿宋" w:eastAsia="方正小标宋简体" w:cs="方正仿宋简体"/>
          <w:b w:val="0"/>
          <w:bCs w:val="0"/>
          <w:color w:val="000000"/>
          <w:sz w:val="32"/>
          <w:szCs w:val="32"/>
          <w:lang w:eastAsia="zh-CN"/>
        </w:rPr>
        <w:t>（</w:t>
      </w:r>
      <w:r>
        <w:rPr>
          <w:rFonts w:hint="eastAsia" w:ascii="方正小标宋简体" w:hAnsi="仿宋" w:eastAsia="方正小标宋简体" w:cs="方正仿宋简体"/>
          <w:b w:val="0"/>
          <w:bCs w:val="0"/>
          <w:color w:val="000000"/>
          <w:sz w:val="32"/>
          <w:szCs w:val="32"/>
          <w:lang w:val="en-US" w:eastAsia="zh-CN"/>
        </w:rPr>
        <w:t>2022年</w:t>
      </w:r>
      <w:r>
        <w:rPr>
          <w:rFonts w:hint="eastAsia" w:ascii="方正小标宋简体" w:hAnsi="仿宋" w:eastAsia="方正小标宋简体" w:cs="方正仿宋简体"/>
          <w:b w:val="0"/>
          <w:bCs w:val="0"/>
          <w:color w:val="000000"/>
          <w:sz w:val="32"/>
          <w:szCs w:val="32"/>
          <w:lang w:eastAsia="zh-CN"/>
        </w:rPr>
        <w:t>）</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color w:val="000000"/>
          <w:szCs w:val="21"/>
          <w:lang w:eastAsia="zh-CN"/>
        </w:rPr>
      </w:pPr>
      <w:r>
        <w:rPr>
          <w:rFonts w:hint="eastAsia" w:ascii="宋体" w:hAnsi="宋体"/>
          <w:color w:val="000000"/>
          <w:szCs w:val="21"/>
        </w:rPr>
        <w:t>同一生产者按照同一标准生产的同一商标、同一规格型号</w:t>
      </w:r>
      <w:r>
        <w:rPr>
          <w:rFonts w:hint="eastAsia" w:ascii="宋体" w:hAnsi="宋体"/>
          <w:color w:val="000000"/>
          <w:szCs w:val="21"/>
          <w:lang w:eastAsia="zh-CN"/>
        </w:rPr>
        <w:t>的</w:t>
      </w:r>
      <w:r>
        <w:rPr>
          <w:rFonts w:hint="eastAsia" w:ascii="宋体" w:hAnsi="宋体"/>
          <w:color w:val="000000"/>
          <w:szCs w:val="21"/>
        </w:rPr>
        <w:t>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r>
        <w:rPr>
          <w:rFonts w:hint="eastAsia" w:ascii="宋体" w:hAnsi="宋体"/>
          <w:color w:val="000000"/>
          <w:szCs w:val="21"/>
          <w:lang w:eastAsia="zh-CN"/>
        </w:rPr>
        <w:t>；</w:t>
      </w:r>
      <w:r>
        <w:rPr>
          <w:rFonts w:hint="eastAsia" w:ascii="宋体" w:hAnsi="宋体"/>
          <w:color w:val="000000"/>
          <w:szCs w:val="21"/>
        </w:rPr>
        <w:t>在贮罐、大桶或其它较大容器中抽样时，抽取不</w:t>
      </w:r>
      <w:r>
        <w:rPr>
          <w:rFonts w:hint="eastAsia" w:ascii="宋体" w:hAnsi="宋体"/>
          <w:color w:val="000000"/>
          <w:szCs w:val="21"/>
          <w:lang w:eastAsia="zh-CN"/>
        </w:rPr>
        <w:t>小</w:t>
      </w:r>
      <w:r>
        <w:rPr>
          <w:rFonts w:hint="eastAsia" w:ascii="宋体" w:hAnsi="宋体"/>
          <w:color w:val="000000"/>
          <w:szCs w:val="21"/>
        </w:rPr>
        <w:t>于6kg样品，等量分为2份，每份不</w:t>
      </w:r>
      <w:r>
        <w:rPr>
          <w:rFonts w:hint="eastAsia" w:ascii="宋体" w:hAnsi="宋体"/>
          <w:color w:val="000000"/>
          <w:szCs w:val="21"/>
          <w:lang w:eastAsia="zh-CN"/>
        </w:rPr>
        <w:t>小</w:t>
      </w:r>
      <w:r>
        <w:rPr>
          <w:rFonts w:hint="eastAsia" w:ascii="宋体" w:hAnsi="宋体"/>
          <w:color w:val="000000"/>
          <w:szCs w:val="21"/>
        </w:rPr>
        <w:t>于3kg</w:t>
      </w:r>
      <w:r>
        <w:rPr>
          <w:rFonts w:hint="eastAsia" w:ascii="宋体" w:hAnsi="宋体"/>
          <w:color w:val="000000"/>
          <w:szCs w:val="21"/>
          <w:lang w:eastAsia="zh-CN"/>
        </w:rPr>
        <w:t>，</w:t>
      </w:r>
      <w:r>
        <w:rPr>
          <w:rFonts w:hint="eastAsia" w:ascii="宋体" w:hAnsi="宋体"/>
          <w:color w:val="000000"/>
          <w:szCs w:val="21"/>
        </w:rPr>
        <w:t>其中一份作为检验样品，一份作为备用样品。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lang w:eastAsia="zh-CN"/>
        </w:rPr>
        <w:t>检验项目和检验方法见表1、表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76"/>
        <w:gridCol w:w="2085"/>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66"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 w:val="21"/>
                <w:szCs w:val="21"/>
              </w:rPr>
              <w:t>低温贮存稳定性</w:t>
            </w:r>
            <w:r>
              <w:rPr>
                <w:rFonts w:hint="eastAsia" w:ascii="宋体" w:hAnsi="宋体"/>
                <w:b w:val="0"/>
                <w:bCs w:val="0"/>
                <w:color w:val="000000" w:themeColor="text1"/>
                <w:szCs w:val="21"/>
                <w:vertAlign w:val="superscript"/>
                <w:lang w:val="en-US" w:eastAsia="zh-CN"/>
              </w:rPr>
              <w:t>①</w:t>
            </w:r>
          </w:p>
        </w:tc>
        <w:tc>
          <w:tcPr>
            <w:tcW w:w="208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干燥时间</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1728</w:t>
            </w:r>
            <w:r>
              <w:rPr>
                <w:rFonts w:hint="eastAsia" w:ascii="宋体" w:hAnsi="宋体"/>
                <w:color w:val="000000" w:themeColor="text1"/>
                <w:szCs w:val="21"/>
              </w:rPr>
              <w:t>-</w:t>
            </w:r>
            <w:r>
              <w:rPr>
                <w:rFonts w:hint="eastAsia" w:ascii="宋体" w:hAnsi="宋体"/>
                <w:color w:val="000000" w:themeColor="text1"/>
                <w:szCs w:val="21"/>
                <w:lang w:val="en-US" w:eastAsia="zh-CN"/>
              </w:rPr>
              <w:t>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初期干燥抗裂性</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耐水性</w:t>
            </w:r>
            <w:r>
              <w:rPr>
                <w:rFonts w:hint="eastAsia" w:ascii="宋体" w:hAnsi="宋体"/>
                <w:b w:val="0"/>
                <w:bCs w:val="0"/>
                <w:color w:val="000000" w:themeColor="text1"/>
                <w:szCs w:val="21"/>
                <w:vertAlign w:val="superscript"/>
                <w:lang w:val="en-US" w:eastAsia="zh-CN"/>
              </w:rPr>
              <w:t>②</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1390" w:type="dxa"/>
            <w:vMerge w:val="restart"/>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Cs w:val="21"/>
                <w:lang w:eastAsia="zh-CN"/>
              </w:rPr>
              <w:t>粘结强度</w:t>
            </w:r>
          </w:p>
        </w:tc>
        <w:tc>
          <w:tcPr>
            <w:tcW w:w="1876" w:type="dxa"/>
            <w:vAlign w:val="center"/>
          </w:tcPr>
          <w:p>
            <w:pPr>
              <w:snapToGrid w:val="0"/>
              <w:spacing w:line="440" w:lineRule="exact"/>
              <w:jc w:val="center"/>
              <w:rPr>
                <w:rFonts w:hint="eastAsia" w:ascii="宋体" w:hAnsi="宋体"/>
                <w:b w:val="0"/>
                <w:bCs w:val="0"/>
                <w:color w:val="000000" w:themeColor="text1"/>
                <w:szCs w:val="21"/>
                <w:lang w:eastAsia="zh-CN"/>
              </w:rPr>
            </w:pPr>
            <w:r>
              <w:rPr>
                <w:rFonts w:hint="eastAsia" w:ascii="宋体" w:hAnsi="宋体"/>
                <w:b w:val="0"/>
                <w:bCs w:val="0"/>
                <w:color w:val="000000" w:themeColor="text1"/>
                <w:szCs w:val="21"/>
                <w:lang w:eastAsia="zh-CN"/>
              </w:rPr>
              <w:t>标准状态</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hint="eastAsia" w:ascii="宋体" w:hAnsi="宋体"/>
                <w:color w:val="000000" w:themeColor="text1"/>
                <w:szCs w:val="21"/>
              </w:rPr>
            </w:pPr>
          </w:p>
        </w:tc>
        <w:tc>
          <w:tcPr>
            <w:tcW w:w="1390" w:type="dxa"/>
            <w:vMerge w:val="continue"/>
            <w:vAlign w:val="center"/>
          </w:tcPr>
          <w:p>
            <w:pPr>
              <w:snapToGrid w:val="0"/>
              <w:spacing w:line="440" w:lineRule="exact"/>
              <w:jc w:val="center"/>
              <w:rPr>
                <w:rFonts w:hint="eastAsia" w:ascii="宋体" w:hAnsi="宋体"/>
                <w:b w:val="0"/>
                <w:bCs w:val="0"/>
                <w:color w:val="000000" w:themeColor="text1"/>
                <w:szCs w:val="21"/>
                <w:lang w:eastAsia="zh-CN"/>
              </w:rPr>
            </w:pPr>
          </w:p>
        </w:tc>
        <w:tc>
          <w:tcPr>
            <w:tcW w:w="1876" w:type="dxa"/>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浸水后</w:t>
            </w:r>
            <w:r>
              <w:rPr>
                <w:rFonts w:hint="eastAsia" w:ascii="宋体" w:hAnsi="宋体"/>
                <w:b w:val="0"/>
                <w:bCs w:val="0"/>
                <w:color w:val="000000" w:themeColor="text1"/>
                <w:szCs w:val="21"/>
                <w:vertAlign w:val="superscript"/>
                <w:lang w:val="en-US" w:eastAsia="zh-CN"/>
              </w:rPr>
              <w:t>③</w:t>
            </w:r>
          </w:p>
        </w:tc>
        <w:tc>
          <w:tcPr>
            <w:tcW w:w="208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柔韧性</w:t>
            </w:r>
            <w:r>
              <w:rPr>
                <w:rFonts w:hint="eastAsia" w:ascii="宋体" w:hAnsi="宋体"/>
                <w:b w:val="0"/>
                <w:bCs w:val="0"/>
                <w:color w:val="000000" w:themeColor="text1"/>
                <w:szCs w:val="21"/>
                <w:vertAlign w:val="superscript"/>
                <w:lang w:val="en-US" w:eastAsia="zh-CN"/>
              </w:rPr>
              <w:t>④</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66" w:type="dxa"/>
            <w:gridSpan w:val="2"/>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pH值</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8</w:t>
            </w:r>
          </w:p>
        </w:tc>
        <w:tc>
          <w:tcPr>
            <w:tcW w:w="3266" w:type="dxa"/>
            <w:gridSpan w:val="2"/>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eastAsia="zh-CN"/>
              </w:rPr>
              <w:t>挥发性有机化合物含量</w:t>
            </w:r>
            <w:r>
              <w:rPr>
                <w:rFonts w:hint="eastAsia" w:ascii="宋体" w:hAnsi="宋体"/>
                <w:color w:val="000000" w:themeColor="text1"/>
                <w:szCs w:val="21"/>
                <w:lang w:val="en-US" w:eastAsia="zh-CN"/>
              </w:rPr>
              <w:t>(VOC)</w:t>
            </w:r>
          </w:p>
        </w:tc>
        <w:tc>
          <w:tcPr>
            <w:tcW w:w="2085"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9</w:t>
            </w:r>
          </w:p>
        </w:tc>
        <w:tc>
          <w:tcPr>
            <w:tcW w:w="3266" w:type="dxa"/>
            <w:gridSpan w:val="2"/>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苯、甲苯、乙苯、二甲苯总和</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10</w:t>
            </w:r>
          </w:p>
        </w:tc>
        <w:tc>
          <w:tcPr>
            <w:tcW w:w="3266" w:type="dxa"/>
            <w:gridSpan w:val="2"/>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游离甲醛</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11</w:t>
            </w:r>
          </w:p>
        </w:tc>
        <w:tc>
          <w:tcPr>
            <w:tcW w:w="3266" w:type="dxa"/>
            <w:gridSpan w:val="2"/>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可溶性重金属（铅、镉、铬、汞）</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jc w:val="both"/>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备注：①</w:t>
            </w:r>
            <w:r>
              <w:rPr>
                <w:rFonts w:hint="eastAsia" w:ascii="宋体" w:hAnsi="宋体"/>
                <w:color w:val="000000" w:themeColor="text1"/>
                <w:sz w:val="21"/>
                <w:szCs w:val="21"/>
              </w:rPr>
              <w:t>低温贮存稳定性</w:t>
            </w:r>
            <w:r>
              <w:rPr>
                <w:rFonts w:hint="eastAsia" w:ascii="宋体" w:hAnsi="宋体"/>
                <w:color w:val="000000" w:themeColor="text1"/>
                <w:szCs w:val="21"/>
                <w:lang w:val="en-US" w:eastAsia="zh-CN"/>
              </w:rPr>
              <w:t>适用于液态组分或膏状组分；②耐水性仅适用于耐水型和柔韧型；③粘结强度（浸水后）仅适用于耐水型；④柔韧性仅适用于柔韧型。</w:t>
            </w:r>
          </w:p>
        </w:tc>
      </w:tr>
    </w:tbl>
    <w:p>
      <w:pPr>
        <w:spacing w:line="360" w:lineRule="auto"/>
        <w:jc w:val="center"/>
        <w:rPr>
          <w:rFonts w:hint="eastAsia" w:ascii="宋体" w:hAnsi="宋体"/>
          <w:color w:val="000000" w:themeColor="text1"/>
          <w:szCs w:val="21"/>
        </w:rPr>
      </w:pPr>
    </w:p>
    <w:p>
      <w:pPr>
        <w:spacing w:line="360" w:lineRule="auto"/>
        <w:jc w:val="center"/>
        <w:rPr>
          <w:rFonts w:hint="eastAsia" w:ascii="宋体" w:hAnsi="宋体"/>
          <w:color w:val="000000" w:themeColor="text1"/>
          <w:szCs w:val="21"/>
          <w:lang w:val="en-US" w:eastAsia="zh-CN"/>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76"/>
        <w:gridCol w:w="2085"/>
        <w:gridCol w:w="3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66"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 w:val="21"/>
                <w:szCs w:val="21"/>
              </w:rPr>
              <w:t>低温贮存稳定性</w:t>
            </w:r>
            <w:r>
              <w:rPr>
                <w:rFonts w:hint="eastAsia" w:ascii="宋体" w:hAnsi="宋体"/>
                <w:b w:val="0"/>
                <w:bCs w:val="0"/>
                <w:color w:val="000000" w:themeColor="text1"/>
                <w:szCs w:val="21"/>
                <w:vertAlign w:val="superscript"/>
                <w:lang w:val="en-US" w:eastAsia="zh-CN"/>
              </w:rPr>
              <w:t>①</w:t>
            </w:r>
          </w:p>
        </w:tc>
        <w:tc>
          <w:tcPr>
            <w:tcW w:w="208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干燥时间</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1728</w:t>
            </w:r>
            <w:r>
              <w:rPr>
                <w:rFonts w:hint="eastAsia" w:ascii="宋体" w:hAnsi="宋体"/>
                <w:color w:val="000000" w:themeColor="text1"/>
                <w:szCs w:val="21"/>
              </w:rPr>
              <w:t>-</w:t>
            </w:r>
            <w:r>
              <w:rPr>
                <w:rFonts w:hint="eastAsia" w:ascii="宋体" w:hAnsi="宋体"/>
                <w:color w:val="000000" w:themeColor="text1"/>
                <w:szCs w:val="21"/>
                <w:lang w:val="en-US" w:eastAsia="zh-CN"/>
              </w:rPr>
              <w:t>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66" w:type="dxa"/>
            <w:gridSpan w:val="2"/>
            <w:vAlign w:val="center"/>
          </w:tcPr>
          <w:p>
            <w:pPr>
              <w:snapToGrid w:val="0"/>
              <w:spacing w:line="440" w:lineRule="exact"/>
              <w:jc w:val="center"/>
              <w:rPr>
                <w:rFonts w:hint="eastAsia"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初期干燥抗裂性</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耐水性</w:t>
            </w:r>
            <w:r>
              <w:rPr>
                <w:rFonts w:hint="eastAsia" w:ascii="宋体" w:hAnsi="宋体"/>
                <w:b w:val="0"/>
                <w:bCs w:val="0"/>
                <w:color w:val="000000" w:themeColor="text1"/>
                <w:szCs w:val="21"/>
                <w:vertAlign w:val="superscript"/>
                <w:lang w:val="en-US" w:eastAsia="zh-CN"/>
              </w:rPr>
              <w:t>②</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GB</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1390" w:type="dxa"/>
            <w:vMerge w:val="restart"/>
            <w:vAlign w:val="center"/>
          </w:tcPr>
          <w:p>
            <w:pPr>
              <w:snapToGrid w:val="0"/>
              <w:spacing w:line="440" w:lineRule="exact"/>
              <w:jc w:val="center"/>
              <w:rPr>
                <w:rFonts w:hint="eastAsia" w:ascii="宋体" w:hAnsi="宋体" w:eastAsia="宋体"/>
                <w:b w:val="0"/>
                <w:bCs w:val="0"/>
                <w:color w:val="000000" w:themeColor="text1"/>
                <w:szCs w:val="21"/>
                <w:lang w:eastAsia="zh-CN"/>
              </w:rPr>
            </w:pPr>
            <w:r>
              <w:rPr>
                <w:rFonts w:hint="eastAsia" w:ascii="宋体" w:hAnsi="宋体"/>
                <w:b w:val="0"/>
                <w:bCs w:val="0"/>
                <w:color w:val="000000" w:themeColor="text1"/>
                <w:szCs w:val="21"/>
                <w:lang w:eastAsia="zh-CN"/>
              </w:rPr>
              <w:t>粘结强度</w:t>
            </w:r>
          </w:p>
        </w:tc>
        <w:tc>
          <w:tcPr>
            <w:tcW w:w="1876" w:type="dxa"/>
            <w:vAlign w:val="center"/>
          </w:tcPr>
          <w:p>
            <w:pPr>
              <w:snapToGrid w:val="0"/>
              <w:spacing w:line="440" w:lineRule="exact"/>
              <w:jc w:val="center"/>
              <w:rPr>
                <w:rFonts w:hint="eastAsia" w:ascii="宋体" w:hAnsi="宋体"/>
                <w:b w:val="0"/>
                <w:bCs w:val="0"/>
                <w:color w:val="000000" w:themeColor="text1"/>
                <w:szCs w:val="21"/>
                <w:lang w:eastAsia="zh-CN"/>
              </w:rPr>
            </w:pPr>
            <w:r>
              <w:rPr>
                <w:rFonts w:hint="eastAsia" w:ascii="宋体" w:hAnsi="宋体"/>
                <w:b w:val="0"/>
                <w:bCs w:val="0"/>
                <w:color w:val="000000" w:themeColor="text1"/>
                <w:szCs w:val="21"/>
                <w:lang w:eastAsia="zh-CN"/>
              </w:rPr>
              <w:t>标准状态</w:t>
            </w:r>
          </w:p>
        </w:tc>
        <w:tc>
          <w:tcPr>
            <w:tcW w:w="208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hint="eastAsia" w:ascii="宋体" w:hAnsi="宋体"/>
                <w:color w:val="000000" w:themeColor="text1"/>
                <w:szCs w:val="21"/>
              </w:rPr>
            </w:pPr>
          </w:p>
        </w:tc>
        <w:tc>
          <w:tcPr>
            <w:tcW w:w="1390" w:type="dxa"/>
            <w:vMerge w:val="continue"/>
            <w:vAlign w:val="center"/>
          </w:tcPr>
          <w:p>
            <w:pPr>
              <w:snapToGrid w:val="0"/>
              <w:spacing w:line="440" w:lineRule="exact"/>
              <w:jc w:val="center"/>
              <w:rPr>
                <w:rFonts w:hint="eastAsia" w:ascii="宋体" w:hAnsi="宋体"/>
                <w:b w:val="0"/>
                <w:bCs w:val="0"/>
                <w:color w:val="000000" w:themeColor="text1"/>
                <w:szCs w:val="21"/>
                <w:lang w:eastAsia="zh-CN"/>
              </w:rPr>
            </w:pPr>
          </w:p>
        </w:tc>
        <w:tc>
          <w:tcPr>
            <w:tcW w:w="1876" w:type="dxa"/>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eastAsia="zh-CN"/>
              </w:rPr>
              <w:t>浸水后</w:t>
            </w:r>
            <w:r>
              <w:rPr>
                <w:rFonts w:hint="eastAsia" w:ascii="宋体" w:hAnsi="宋体"/>
                <w:b w:val="0"/>
                <w:bCs w:val="0"/>
                <w:color w:val="000000" w:themeColor="text1"/>
                <w:szCs w:val="21"/>
                <w:vertAlign w:val="superscript"/>
                <w:lang w:val="en-US" w:eastAsia="zh-CN"/>
              </w:rPr>
              <w:t>③</w:t>
            </w:r>
          </w:p>
        </w:tc>
        <w:tc>
          <w:tcPr>
            <w:tcW w:w="208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rPr>
            </w:pPr>
            <w:r>
              <w:rPr>
                <w:rFonts w:hint="eastAsia" w:ascii="宋体" w:hAnsi="宋体"/>
                <w:color w:val="000000" w:themeColor="text1"/>
                <w:szCs w:val="21"/>
                <w:lang w:val="en-US" w:eastAsia="zh-CN"/>
              </w:rPr>
              <w:t>JG/T</w:t>
            </w:r>
            <w:r>
              <w:rPr>
                <w:rFonts w:hint="eastAsia" w:ascii="宋体" w:hAnsi="宋体"/>
                <w:color w:val="000000" w:themeColor="text1"/>
                <w:szCs w:val="21"/>
              </w:rPr>
              <w:t xml:space="preserve"> </w:t>
            </w:r>
            <w:r>
              <w:rPr>
                <w:rFonts w:hint="eastAsia" w:ascii="宋体" w:hAnsi="宋体"/>
                <w:color w:val="000000" w:themeColor="text1"/>
                <w:szCs w:val="21"/>
                <w:lang w:val="en-US" w:eastAsia="zh-CN"/>
              </w:rPr>
              <w:t>24</w:t>
            </w:r>
            <w:r>
              <w:rPr>
                <w:rFonts w:hint="eastAsia" w:ascii="宋体" w:hAnsi="宋体"/>
                <w:color w:val="000000" w:themeColor="text1"/>
                <w:szCs w:val="21"/>
              </w:rPr>
              <w:t>-2</w:t>
            </w:r>
            <w:r>
              <w:rPr>
                <w:rFonts w:hint="eastAsia" w:ascii="宋体" w:hAnsi="宋体"/>
                <w:color w:val="000000" w:themeColor="text1"/>
                <w:szCs w:val="21"/>
                <w:lang w:val="en-US" w:eastAsia="zh-CN"/>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66" w:type="dxa"/>
            <w:gridSpan w:val="2"/>
            <w:vAlign w:val="center"/>
          </w:tcPr>
          <w:p>
            <w:pPr>
              <w:snapToGrid w:val="0"/>
              <w:spacing w:line="440" w:lineRule="exact"/>
              <w:jc w:val="center"/>
              <w:rPr>
                <w:rFonts w:hint="default" w:ascii="宋体" w:hAnsi="宋体" w:eastAsia="宋体"/>
                <w:b w:val="0"/>
                <w:bCs w:val="0"/>
                <w:color w:val="000000" w:themeColor="text1"/>
                <w:szCs w:val="21"/>
                <w:lang w:val="en-US" w:eastAsia="zh-CN"/>
              </w:rPr>
            </w:pPr>
            <w:r>
              <w:rPr>
                <w:rFonts w:hint="eastAsia" w:ascii="宋体" w:hAnsi="宋体"/>
                <w:b w:val="0"/>
                <w:bCs w:val="0"/>
                <w:color w:val="000000" w:themeColor="text1"/>
                <w:szCs w:val="21"/>
                <w:lang w:val="en-US" w:eastAsia="zh-CN"/>
              </w:rPr>
              <w:t>柔韧性</w:t>
            </w:r>
            <w:r>
              <w:rPr>
                <w:rFonts w:hint="eastAsia" w:ascii="宋体" w:hAnsi="宋体"/>
                <w:b w:val="0"/>
                <w:bCs w:val="0"/>
                <w:color w:val="000000" w:themeColor="text1"/>
                <w:szCs w:val="21"/>
                <w:vertAlign w:val="superscript"/>
                <w:lang w:val="en-US" w:eastAsia="zh-CN"/>
              </w:rPr>
              <w:t>④</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66" w:type="dxa"/>
            <w:gridSpan w:val="2"/>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pH值</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JG</w:t>
            </w:r>
            <w:r>
              <w:rPr>
                <w:rFonts w:hint="eastAsia" w:ascii="宋体" w:hAnsi="宋体"/>
                <w:color w:val="000000" w:themeColor="text1"/>
                <w:szCs w:val="21"/>
              </w:rPr>
              <w:t xml:space="preserve">/T </w:t>
            </w:r>
            <w:r>
              <w:rPr>
                <w:rFonts w:hint="eastAsia" w:ascii="宋体" w:hAnsi="宋体"/>
                <w:color w:val="000000" w:themeColor="text1"/>
                <w:szCs w:val="21"/>
                <w:lang w:val="en-US" w:eastAsia="zh-CN"/>
              </w:rPr>
              <w:t>298</w:t>
            </w:r>
            <w:r>
              <w:rPr>
                <w:rFonts w:hint="eastAsia" w:ascii="宋体" w:hAnsi="宋体"/>
                <w:color w:val="000000" w:themeColor="text1"/>
                <w:szCs w:val="21"/>
              </w:rPr>
              <w:t>-</w:t>
            </w:r>
            <w:r>
              <w:rPr>
                <w:rFonts w:hint="eastAsia" w:ascii="宋体" w:hAnsi="宋体"/>
                <w:color w:val="000000" w:themeColor="text1"/>
                <w:szCs w:val="21"/>
                <w:lang w:val="en-US" w:eastAsia="zh-CN"/>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66" w:type="dxa"/>
            <w:gridSpan w:val="2"/>
            <w:vAlign w:val="center"/>
          </w:tcPr>
          <w:p>
            <w:pPr>
              <w:snapToGrid w:val="0"/>
              <w:spacing w:line="240" w:lineRule="auto"/>
              <w:jc w:val="center"/>
              <w:rPr>
                <w:rFonts w:hint="default" w:ascii="宋体" w:hAnsi="宋体" w:eastAsia="宋体"/>
                <w:sz w:val="21"/>
                <w:szCs w:val="21"/>
                <w:lang w:val="en-US" w:eastAsia="zh-CN"/>
              </w:rPr>
            </w:pPr>
            <w:r>
              <w:rPr>
                <w:rFonts w:hint="eastAsia" w:ascii="宋体" w:hAnsi="宋体"/>
                <w:sz w:val="21"/>
                <w:szCs w:val="21"/>
                <w:lang w:val="en-US" w:eastAsia="zh-CN"/>
              </w:rPr>
              <w:t>VOC含量</w:t>
            </w:r>
          </w:p>
        </w:tc>
        <w:tc>
          <w:tcPr>
            <w:tcW w:w="2085"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66" w:type="dxa"/>
            <w:gridSpan w:val="2"/>
            <w:vAlign w:val="center"/>
          </w:tcPr>
          <w:p>
            <w:pPr>
              <w:jc w:val="center"/>
              <w:rPr>
                <w:rFonts w:hint="eastAsia" w:ascii="宋体" w:hAnsi="宋体" w:eastAsia="宋体"/>
                <w:sz w:val="21"/>
                <w:szCs w:val="21"/>
                <w:lang w:eastAsia="zh-CN"/>
              </w:rPr>
            </w:pPr>
            <w:r>
              <w:rPr>
                <w:rFonts w:hint="eastAsia" w:ascii="宋体" w:hAnsi="宋体"/>
                <w:szCs w:val="21"/>
              </w:rPr>
              <w:t>甲醛含量</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66" w:type="dxa"/>
            <w:gridSpan w:val="2"/>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eastAsia="宋体"/>
                <w:sz w:val="21"/>
                <w:szCs w:val="21"/>
                <w:lang w:eastAsia="zh-CN"/>
              </w:rPr>
            </w:pPr>
            <w:r>
              <w:rPr>
                <w:rFonts w:hint="eastAsia" w:ascii="宋体" w:hAnsi="宋体"/>
                <w:szCs w:val="21"/>
                <w:lang w:val="en-US" w:eastAsia="zh-CN"/>
              </w:rPr>
              <w:t>[限苯、甲苯、二甲苯(含乙苯)]</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66" w:type="dxa"/>
            <w:gridSpan w:val="2"/>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eastAsia="宋体"/>
                <w:sz w:val="21"/>
                <w:szCs w:val="21"/>
                <w:lang w:val="en-US" w:eastAsia="zh-CN"/>
              </w:rPr>
            </w:pPr>
            <w:r>
              <w:rPr>
                <w:rFonts w:hint="eastAsia" w:ascii="宋体" w:hAnsi="宋体"/>
                <w:szCs w:val="21"/>
                <w:lang w:val="en-US" w:eastAsia="zh-CN"/>
              </w:rPr>
              <w:t>[限色漆和腻子]</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12</w:t>
            </w:r>
          </w:p>
        </w:tc>
        <w:tc>
          <w:tcPr>
            <w:tcW w:w="3266" w:type="dxa"/>
            <w:gridSpan w:val="2"/>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default" w:ascii="宋体" w:hAnsi="宋体" w:eastAsia="宋体"/>
                <w:sz w:val="21"/>
                <w:szCs w:val="21"/>
                <w:lang w:val="en-US" w:eastAsia="zh-CN"/>
              </w:rPr>
            </w:pPr>
            <w:r>
              <w:rPr>
                <w:rFonts w:hint="eastAsia" w:ascii="宋体" w:hAnsi="宋体"/>
                <w:szCs w:val="21"/>
                <w:lang w:val="en-US" w:eastAsia="zh-CN"/>
              </w:rPr>
              <w:t>[限色漆和腻子]</w:t>
            </w:r>
          </w:p>
        </w:tc>
        <w:tc>
          <w:tcPr>
            <w:tcW w:w="208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3005"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jc w:val="both"/>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备注：①</w:t>
            </w:r>
            <w:r>
              <w:rPr>
                <w:rFonts w:hint="eastAsia" w:ascii="宋体" w:hAnsi="宋体"/>
                <w:color w:val="000000" w:themeColor="text1"/>
                <w:sz w:val="21"/>
                <w:szCs w:val="21"/>
              </w:rPr>
              <w:t>低温贮存稳定性</w:t>
            </w:r>
            <w:r>
              <w:rPr>
                <w:rFonts w:hint="eastAsia" w:ascii="宋体" w:hAnsi="宋体"/>
                <w:color w:val="000000" w:themeColor="text1"/>
                <w:szCs w:val="21"/>
                <w:lang w:val="en-US" w:eastAsia="zh-CN"/>
              </w:rPr>
              <w:t>适用于液态组分或膏状组分；②耐水性仅适用于耐水型和柔韧型；③粘结强度（浸水后）仅适用于耐水型；④柔韧性仅适用于柔韧型。</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bookmarkStart w:id="0" w:name="_GoBack"/>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360" w:lineRule="auto"/>
        <w:ind w:firstLine="420" w:firstLineChars="200"/>
        <w:jc w:val="both"/>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bookmarkEnd w:id="0"/>
    <w:p>
      <w:pPr>
        <w:spacing w:line="360" w:lineRule="auto"/>
        <w:jc w:val="both"/>
        <w:rPr>
          <w:rFonts w:hint="eastAsia" w:ascii="Times New Roman" w:hAnsi="Times New Roman"/>
          <w:color w:val="000000"/>
          <w:szCs w:val="21"/>
          <w:lang w:val="en-US" w:eastAsia="zh-CN"/>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szCs w:val="21"/>
          <w:lang w:val="en-US" w:eastAsia="zh-CN"/>
        </w:rPr>
      </w:pPr>
      <w:r>
        <w:rPr>
          <w:rFonts w:hint="eastAsia" w:ascii="宋体" w:hAnsi="宋体"/>
          <w:color w:val="000000"/>
          <w:szCs w:val="21"/>
          <w:lang w:val="en-US" w:eastAsia="zh-CN"/>
        </w:rPr>
        <w:t>GB 18582-2008</w:t>
      </w:r>
      <w:r>
        <w:rPr>
          <w:rFonts w:hint="eastAsia" w:ascii="宋体" w:hAnsi="宋体"/>
          <w:color w:val="000000"/>
          <w:szCs w:val="21"/>
        </w:rPr>
        <w:t xml:space="preserve"> </w:t>
      </w:r>
      <w:r>
        <w:rPr>
          <w:rFonts w:hint="eastAsia" w:ascii="宋体" w:hAnsi="宋体"/>
          <w:color w:val="000000"/>
          <w:szCs w:val="21"/>
          <w:lang w:eastAsia="zh-CN"/>
        </w:rPr>
        <w:t>室内装饰装修材料</w:t>
      </w:r>
      <w:r>
        <w:rPr>
          <w:rFonts w:hint="eastAsia" w:ascii="宋体" w:hAnsi="宋体"/>
          <w:color w:val="000000"/>
          <w:szCs w:val="21"/>
          <w:lang w:val="en-US" w:eastAsia="zh-CN"/>
        </w:rPr>
        <w:t xml:space="preserve"> 内墙涂料中有害物质限量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宋体" w:hAnsi="宋体"/>
          <w:color w:val="000000"/>
          <w:szCs w:val="21"/>
          <w:lang w:val="en-US" w:eastAsia="zh-CN"/>
        </w:rPr>
      </w:pPr>
      <w:r>
        <w:rPr>
          <w:rFonts w:hint="eastAsia" w:ascii="宋体" w:hAnsi="宋体"/>
          <w:color w:val="000000"/>
          <w:szCs w:val="21"/>
          <w:lang w:val="en-US" w:eastAsia="zh-CN"/>
        </w:rPr>
        <w:t>GB 18582-2020 建筑用墙面涂料中有害物质限量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szCs w:val="21"/>
          <w:lang w:eastAsia="zh-CN"/>
        </w:rPr>
      </w:pPr>
      <w:r>
        <w:rPr>
          <w:rFonts w:hint="eastAsia" w:ascii="宋体" w:hAnsi="宋体"/>
          <w:color w:val="000000"/>
          <w:szCs w:val="21"/>
          <w:lang w:val="en-US" w:eastAsia="zh-CN"/>
        </w:rPr>
        <w:t>JG/T 298</w:t>
      </w:r>
      <w:r>
        <w:rPr>
          <w:rFonts w:hint="eastAsia" w:ascii="宋体" w:hAnsi="宋体"/>
          <w:color w:val="000000"/>
          <w:szCs w:val="21"/>
        </w:rPr>
        <w:t>-20</w:t>
      </w:r>
      <w:r>
        <w:rPr>
          <w:rFonts w:hint="eastAsia" w:ascii="宋体" w:hAnsi="宋体"/>
          <w:color w:val="000000"/>
          <w:szCs w:val="21"/>
          <w:lang w:val="en-US" w:eastAsia="zh-CN"/>
        </w:rPr>
        <w:t>10</w:t>
      </w:r>
      <w:r>
        <w:rPr>
          <w:rFonts w:hint="eastAsia" w:ascii="宋体" w:hAnsi="宋体"/>
          <w:color w:val="000000"/>
          <w:szCs w:val="21"/>
        </w:rPr>
        <w:t xml:space="preserve"> </w:t>
      </w:r>
      <w:r>
        <w:rPr>
          <w:rFonts w:hint="eastAsia" w:ascii="宋体" w:hAnsi="宋体"/>
          <w:color w:val="000000"/>
          <w:szCs w:val="21"/>
          <w:lang w:eastAsia="zh-CN"/>
        </w:rPr>
        <w:t>建筑室内用腻子</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val="0"/>
        <w:spacing w:line="440" w:lineRule="exact"/>
        <w:ind w:firstLine="417" w:firstLineChars="199"/>
        <w:textAlignment w:val="auto"/>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07947"/>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05C10"/>
    <w:rsid w:val="00B426B1"/>
    <w:rsid w:val="00C81E85"/>
    <w:rsid w:val="00DD5955"/>
    <w:rsid w:val="00EA5F26"/>
    <w:rsid w:val="00EB1677"/>
    <w:rsid w:val="01433CE6"/>
    <w:rsid w:val="038D0904"/>
    <w:rsid w:val="05CA07AD"/>
    <w:rsid w:val="06E82128"/>
    <w:rsid w:val="09EF6662"/>
    <w:rsid w:val="0ABF6594"/>
    <w:rsid w:val="0D0A2441"/>
    <w:rsid w:val="0E593F9E"/>
    <w:rsid w:val="0EF77C49"/>
    <w:rsid w:val="12E2027F"/>
    <w:rsid w:val="190C64ED"/>
    <w:rsid w:val="1B1B0B58"/>
    <w:rsid w:val="1D900D1C"/>
    <w:rsid w:val="21547033"/>
    <w:rsid w:val="263128AC"/>
    <w:rsid w:val="268E1997"/>
    <w:rsid w:val="283707FE"/>
    <w:rsid w:val="2BC61145"/>
    <w:rsid w:val="32CD34C3"/>
    <w:rsid w:val="358C349D"/>
    <w:rsid w:val="3847353A"/>
    <w:rsid w:val="3C561893"/>
    <w:rsid w:val="3D9540D0"/>
    <w:rsid w:val="3F935371"/>
    <w:rsid w:val="3FE9647D"/>
    <w:rsid w:val="401E2337"/>
    <w:rsid w:val="4282653C"/>
    <w:rsid w:val="48957629"/>
    <w:rsid w:val="4A09015E"/>
    <w:rsid w:val="4B9D2D48"/>
    <w:rsid w:val="4E0307B9"/>
    <w:rsid w:val="58484A6E"/>
    <w:rsid w:val="5DA60FF6"/>
    <w:rsid w:val="6BB867F1"/>
    <w:rsid w:val="6F1A7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163</Words>
  <Characters>935</Characters>
  <Lines>7</Lines>
  <Paragraphs>2</Paragraphs>
  <TotalTime>1</TotalTime>
  <ScaleCrop>false</ScaleCrop>
  <LinksUpToDate>false</LinksUpToDate>
  <CharactersWithSpaces>1096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2021-12-31T02:17:15Z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472D239013B347388AAB54AD6BF3D1C0</vt:lpwstr>
  </property>
</Properties>
</file>