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重庆市红领巾产品质量监督抽查实施细则（2</w:t>
      </w:r>
      <w:r>
        <w:rPr>
          <w:rFonts w:ascii="方正小标宋简体" w:hAnsi="仿宋" w:eastAsia="方正小标宋简体" w:cs="方正仿宋简体"/>
          <w:color w:val="000000"/>
          <w:sz w:val="32"/>
          <w:szCs w:val="32"/>
        </w:rPr>
        <w:t>021</w:t>
      </w:r>
      <w:r>
        <w:rPr>
          <w:rFonts w:hint="eastAsia" w:ascii="方正小标宋简体" w:hAnsi="仿宋" w:eastAsia="方正小标宋简体" w:cs="方正仿宋简体"/>
          <w:color w:val="000000"/>
          <w:sz w:val="32"/>
          <w:szCs w:val="32"/>
        </w:rPr>
        <w:t>年）</w:t>
      </w:r>
    </w:p>
    <w:p>
      <w:pPr>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color w:val="000000"/>
          <w:szCs w:val="21"/>
        </w:rPr>
      </w:pPr>
      <w:r>
        <w:rPr>
          <w:rFonts w:hint="eastAsia" w:ascii="宋体" w:hAnsi="宋体"/>
          <w:szCs w:val="21"/>
        </w:rPr>
        <w:t>在销售者的待销产品中随机抽取有产品质量检验合格证明或者以其他形式表明合格的、近期生产的产品</w:t>
      </w:r>
      <w:r>
        <w:rPr>
          <w:rFonts w:hint="eastAsia"/>
          <w:szCs w:val="21"/>
        </w:rPr>
        <w:t>。</w:t>
      </w:r>
    </w:p>
    <w:p>
      <w:pPr>
        <w:snapToGrid w:val="0"/>
        <w:spacing w:line="440" w:lineRule="exact"/>
        <w:ind w:firstLine="420" w:firstLineChars="200"/>
        <w:rPr>
          <w:rFonts w:ascii="宋体" w:hAnsi="宋体"/>
          <w:szCs w:val="21"/>
        </w:rPr>
      </w:pPr>
      <w:r>
        <w:rPr>
          <w:rFonts w:hint="eastAsia" w:ascii="宋体" w:hAnsi="宋体"/>
          <w:szCs w:val="21"/>
        </w:rPr>
        <w:t>抽查样品基数满足抽样数量即可。</w:t>
      </w:r>
    </w:p>
    <w:p>
      <w:pPr>
        <w:snapToGrid w:val="0"/>
        <w:spacing w:line="440" w:lineRule="exact"/>
        <w:ind w:firstLine="420" w:firstLineChars="200"/>
        <w:rPr>
          <w:rFonts w:ascii="宋体" w:hAnsi="宋体"/>
          <w:szCs w:val="21"/>
        </w:rPr>
      </w:pPr>
      <w:r>
        <w:rPr>
          <w:rFonts w:hint="eastAsia" w:ascii="宋体" w:hAnsi="宋体"/>
          <w:szCs w:val="21"/>
        </w:rPr>
        <w:t>同一生产者按照同一标准生产的同一商标、同一规格型号（货</w:t>
      </w:r>
      <w:r>
        <w:rPr>
          <w:rFonts w:ascii="宋体" w:hAnsi="宋体"/>
          <w:szCs w:val="21"/>
        </w:rPr>
        <w:t>/</w:t>
      </w:r>
      <w:r>
        <w:rPr>
          <w:rFonts w:hint="eastAsia" w:ascii="宋体" w:hAnsi="宋体"/>
          <w:szCs w:val="21"/>
        </w:rPr>
        <w:t>款号）、同一花型颜色及材料的纺织类产品抽取</w:t>
      </w:r>
      <w:r>
        <w:rPr>
          <w:rFonts w:hint="eastAsia" w:ascii="宋体" w:hAnsi="宋体"/>
          <w:color w:val="auto"/>
          <w:szCs w:val="21"/>
        </w:rPr>
        <w:t>样品1</w:t>
      </w:r>
      <w:r>
        <w:rPr>
          <w:rFonts w:ascii="宋体" w:hAnsi="宋体"/>
          <w:color w:val="auto"/>
          <w:szCs w:val="21"/>
        </w:rPr>
        <w:t>3</w:t>
      </w:r>
      <w:r>
        <w:rPr>
          <w:rFonts w:hint="eastAsia" w:ascii="宋体" w:hAnsi="宋体"/>
          <w:color w:val="auto"/>
          <w:szCs w:val="21"/>
        </w:rPr>
        <w:t>条，其中8条作为检验样品，</w:t>
      </w:r>
      <w:r>
        <w:rPr>
          <w:rFonts w:ascii="宋体" w:hAnsi="宋体"/>
          <w:color w:val="auto"/>
          <w:szCs w:val="21"/>
        </w:rPr>
        <w:t>5</w:t>
      </w:r>
      <w:r>
        <w:rPr>
          <w:rFonts w:hint="eastAsia" w:ascii="宋体" w:hAnsi="宋体"/>
          <w:color w:val="auto"/>
          <w:szCs w:val="21"/>
        </w:rPr>
        <w:t>条作为备用样品。</w:t>
      </w:r>
      <w:bookmarkStart w:id="0" w:name="_GoBack"/>
      <w:bookmarkEnd w:id="0"/>
    </w:p>
    <w:p>
      <w:pPr>
        <w:snapToGrid w:val="0"/>
        <w:spacing w:line="440" w:lineRule="exact"/>
        <w:ind w:firstLine="420" w:firstLineChars="200"/>
        <w:rPr>
          <w:rFonts w:ascii="宋体" w:hAnsi="宋体"/>
          <w:color w:val="000000"/>
          <w:szCs w:val="21"/>
        </w:rPr>
      </w:pPr>
      <w:r>
        <w:rPr>
          <w:rFonts w:hint="eastAsia" w:ascii="宋体" w:hAnsi="宋体"/>
          <w:szCs w:val="21"/>
        </w:rPr>
        <w:t>随机数抽样，随机数一般可使用随机数表、随机数骰子或扑克牌等方法产生。</w:t>
      </w:r>
    </w:p>
    <w:p>
      <w:pPr>
        <w:spacing w:line="440" w:lineRule="exact"/>
        <w:rPr>
          <w:rFonts w:ascii="黑体" w:hAnsi="宋体" w:eastAsia="黑体"/>
          <w:color w:val="000000"/>
          <w:szCs w:val="21"/>
        </w:rPr>
      </w:pPr>
      <w:r>
        <w:rPr>
          <w:rFonts w:hint="eastAsia" w:ascii="黑体" w:hAnsi="宋体" w:eastAsia="黑体"/>
          <w:color w:val="000000"/>
          <w:szCs w:val="21"/>
        </w:rPr>
        <w:t>2 检验依据</w:t>
      </w:r>
    </w:p>
    <w:p>
      <w:pPr>
        <w:spacing w:line="360" w:lineRule="auto"/>
        <w:ind w:left="420" w:hanging="420" w:hangingChars="200"/>
        <w:contextualSpacing/>
        <w:jc w:val="center"/>
        <w:rPr>
          <w:rFonts w:ascii="宋体" w:hAnsi="宋体"/>
          <w:szCs w:val="21"/>
        </w:rPr>
      </w:pPr>
      <w:r>
        <w:rPr>
          <w:rFonts w:hint="eastAsia" w:ascii="宋体" w:hAnsi="宋体"/>
          <w:szCs w:val="21"/>
        </w:rPr>
        <w:t>表1检验项目</w:t>
      </w:r>
    </w:p>
    <w:tbl>
      <w:tblPr>
        <w:tblStyle w:val="1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79"/>
        <w:gridCol w:w="2431"/>
        <w:gridCol w:w="2457"/>
        <w:gridCol w:w="2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tblHeader/>
          <w:jc w:val="center"/>
        </w:trPr>
        <w:tc>
          <w:tcPr>
            <w:tcW w:w="679"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序号</w:t>
            </w:r>
          </w:p>
        </w:tc>
        <w:tc>
          <w:tcPr>
            <w:tcW w:w="2431"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检验项目</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判定依据</w:t>
            </w:r>
          </w:p>
        </w:tc>
        <w:tc>
          <w:tcPr>
            <w:tcW w:w="2729"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纤维含量偏差</w:t>
            </w:r>
          </w:p>
        </w:tc>
        <w:tc>
          <w:tcPr>
            <w:tcW w:w="2457"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29862-2013</w:t>
            </w:r>
          </w:p>
        </w:tc>
        <w:tc>
          <w:tcPr>
            <w:tcW w:w="2729" w:type="dxa"/>
            <w:tcMar>
              <w:top w:w="0" w:type="dxa"/>
              <w:left w:w="70" w:type="dxa"/>
              <w:bottom w:w="0" w:type="dxa"/>
              <w:right w:w="70" w:type="dxa"/>
            </w:tcMar>
            <w:vAlign w:val="center"/>
          </w:tcPr>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2910.1～24-2009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GB/T 2910.101-2009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GB/T 16988-2013</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01026-2017</w:t>
            </w:r>
          </w:p>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FZ/T 01057.2-2007</w:t>
            </w:r>
          </w:p>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FZ/T 01057.3-2007</w:t>
            </w:r>
          </w:p>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FZ/T 01057.4-2007</w:t>
            </w:r>
          </w:p>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FZ/T 01057.6-2007</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01095-2002</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01101-2008</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01103-2009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01103-2009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01112-2012</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01131-2016</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01132-2016</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30003-2009</w:t>
            </w:r>
          </w:p>
          <w:p>
            <w:pPr>
              <w:spacing w:line="360" w:lineRule="auto"/>
              <w:jc w:val="center"/>
              <w:rPr>
                <w:rFonts w:ascii="宋体" w:hAnsi="宋体"/>
                <w:color w:val="000000"/>
                <w:szCs w:val="21"/>
              </w:rPr>
            </w:pPr>
            <w:r>
              <w:rPr>
                <w:rFonts w:ascii="宋体" w:hAnsi="宋体"/>
                <w:color w:val="000000" w:themeColor="text1"/>
                <w:szCs w:val="21"/>
                <w14:textFill>
                  <w14:solidFill>
                    <w14:schemeClr w14:val="tx1"/>
                  </w14:solidFill>
                </w14:textFill>
              </w:rPr>
              <w:t>FZ/T 40005-2009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甲醛含量</w:t>
            </w:r>
          </w:p>
        </w:tc>
        <w:tc>
          <w:tcPr>
            <w:tcW w:w="2457"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 18401-2010</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pH值</w:t>
            </w:r>
          </w:p>
        </w:tc>
        <w:tc>
          <w:tcPr>
            <w:tcW w:w="2457"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 18401-2010</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可分解致癌芳香胺染料</w:t>
            </w:r>
          </w:p>
        </w:tc>
        <w:tc>
          <w:tcPr>
            <w:tcW w:w="2457"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 18401-2010</w:t>
            </w:r>
          </w:p>
        </w:tc>
        <w:tc>
          <w:tcPr>
            <w:tcW w:w="2729"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GB/T 17592-2011</w:t>
            </w:r>
          </w:p>
          <w:p>
            <w:pPr>
              <w:spacing w:line="360" w:lineRule="auto"/>
              <w:jc w:val="center"/>
              <w:rPr>
                <w:rFonts w:ascii="宋体" w:hAnsi="宋体"/>
                <w:color w:val="000000"/>
                <w:szCs w:val="21"/>
              </w:rPr>
            </w:pPr>
            <w:r>
              <w:rPr>
                <w:rFonts w:ascii="宋体" w:hAnsi="宋体"/>
                <w:color w:val="000000"/>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异味</w:t>
            </w:r>
          </w:p>
        </w:tc>
        <w:tc>
          <w:tcPr>
            <w:tcW w:w="2457"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 18401-2010</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 18401-2010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耐水色牢度</w:t>
            </w:r>
          </w:p>
        </w:tc>
        <w:tc>
          <w:tcPr>
            <w:tcW w:w="2457" w:type="dxa"/>
            <w:tcMar>
              <w:top w:w="0" w:type="dxa"/>
              <w:left w:w="70" w:type="dxa"/>
              <w:bottom w:w="0" w:type="dxa"/>
              <w:right w:w="70" w:type="dxa"/>
            </w:tcMar>
            <w:vAlign w:val="center"/>
          </w:tcPr>
          <w:p>
            <w:pPr>
              <w:spacing w:line="360" w:lineRule="auto"/>
              <w:jc w:val="center"/>
              <w:rPr>
                <w:rFonts w:ascii="宋体" w:hAnsi="宋体"/>
                <w:szCs w:val="21"/>
              </w:rPr>
            </w:pPr>
            <w:r>
              <w:rPr>
                <w:rFonts w:hint="eastAsia" w:ascii="宋体" w:hAnsi="宋体"/>
                <w:szCs w:val="21"/>
              </w:rPr>
              <w:t>GB 18401-2010</w:t>
            </w:r>
          </w:p>
          <w:p>
            <w:pPr>
              <w:spacing w:line="360" w:lineRule="auto"/>
              <w:jc w:val="center"/>
              <w:rPr>
                <w:rFonts w:ascii="宋体" w:hAnsi="宋体"/>
                <w:color w:val="000000"/>
                <w:szCs w:val="21"/>
              </w:rPr>
            </w:pPr>
            <w:r>
              <w:rPr>
                <w:rFonts w:hint="eastAsia" w:ascii="宋体" w:hAnsi="宋体"/>
                <w:szCs w:val="21"/>
              </w:rPr>
              <w:t>GB/T 28846-2012</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耐汗渍色牢度</w:t>
            </w:r>
          </w:p>
        </w:tc>
        <w:tc>
          <w:tcPr>
            <w:tcW w:w="2457" w:type="dxa"/>
            <w:tcMar>
              <w:top w:w="0" w:type="dxa"/>
              <w:left w:w="70" w:type="dxa"/>
              <w:bottom w:w="0" w:type="dxa"/>
              <w:right w:w="70" w:type="dxa"/>
            </w:tcMar>
            <w:vAlign w:val="center"/>
          </w:tcPr>
          <w:p>
            <w:pPr>
              <w:spacing w:line="360" w:lineRule="auto"/>
              <w:jc w:val="center"/>
              <w:rPr>
                <w:rFonts w:ascii="宋体" w:hAnsi="宋体"/>
                <w:szCs w:val="21"/>
              </w:rPr>
            </w:pPr>
            <w:r>
              <w:rPr>
                <w:rFonts w:hint="eastAsia" w:ascii="宋体" w:hAnsi="宋体"/>
                <w:szCs w:val="21"/>
              </w:rPr>
              <w:t>GB 18401-2010</w:t>
            </w:r>
          </w:p>
          <w:p>
            <w:pPr>
              <w:spacing w:line="360" w:lineRule="auto"/>
              <w:jc w:val="center"/>
              <w:rPr>
                <w:rFonts w:ascii="宋体" w:hAnsi="宋体"/>
                <w:color w:val="000000"/>
                <w:szCs w:val="21"/>
              </w:rPr>
            </w:pPr>
            <w:r>
              <w:rPr>
                <w:rFonts w:hint="eastAsia" w:ascii="宋体" w:hAnsi="宋体"/>
                <w:szCs w:val="21"/>
              </w:rPr>
              <w:t>GB/T 28846-2012</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耐摩擦色牢度</w:t>
            </w:r>
          </w:p>
        </w:tc>
        <w:tc>
          <w:tcPr>
            <w:tcW w:w="2457" w:type="dxa"/>
            <w:tcMar>
              <w:top w:w="0" w:type="dxa"/>
              <w:left w:w="70" w:type="dxa"/>
              <w:bottom w:w="0" w:type="dxa"/>
              <w:right w:w="70" w:type="dxa"/>
            </w:tcMar>
            <w:vAlign w:val="center"/>
          </w:tcPr>
          <w:p>
            <w:pPr>
              <w:spacing w:line="360" w:lineRule="auto"/>
              <w:jc w:val="center"/>
              <w:rPr>
                <w:rFonts w:ascii="宋体" w:hAnsi="宋体"/>
                <w:szCs w:val="21"/>
              </w:rPr>
            </w:pPr>
            <w:r>
              <w:rPr>
                <w:rFonts w:hint="eastAsia" w:ascii="宋体" w:hAnsi="宋体"/>
                <w:szCs w:val="21"/>
              </w:rPr>
              <w:t>GB 18401-2010</w:t>
            </w:r>
          </w:p>
          <w:p>
            <w:pPr>
              <w:spacing w:line="360" w:lineRule="auto"/>
              <w:jc w:val="center"/>
              <w:rPr>
                <w:rFonts w:ascii="宋体" w:hAnsi="宋体"/>
                <w:szCs w:val="21"/>
              </w:rPr>
            </w:pPr>
            <w:r>
              <w:rPr>
                <w:rFonts w:hint="eastAsia" w:ascii="宋体" w:hAnsi="宋体"/>
                <w:color w:val="000000"/>
                <w:szCs w:val="21"/>
              </w:rPr>
              <w:t>GB 31701-2015</w:t>
            </w:r>
          </w:p>
          <w:p>
            <w:pPr>
              <w:spacing w:line="360" w:lineRule="auto"/>
              <w:jc w:val="center"/>
              <w:rPr>
                <w:rFonts w:ascii="宋体" w:hAnsi="宋体"/>
                <w:color w:val="000000"/>
                <w:szCs w:val="21"/>
              </w:rPr>
            </w:pPr>
            <w:r>
              <w:rPr>
                <w:rFonts w:hint="eastAsia" w:ascii="宋体" w:hAnsi="宋体"/>
                <w:szCs w:val="21"/>
              </w:rPr>
              <w:t>GB/T 28846-2012</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耐皂洗色牢度</w:t>
            </w:r>
          </w:p>
        </w:tc>
        <w:tc>
          <w:tcPr>
            <w:tcW w:w="2457"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28846-2012</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3921-2008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79"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断裂强力</w:t>
            </w:r>
            <w:r>
              <w:rPr>
                <w:rFonts w:hint="eastAsia" w:ascii="宋体" w:hAnsi="宋体"/>
                <w:szCs w:val="21"/>
                <w:vertAlign w:val="superscript"/>
              </w:rPr>
              <w:t>②</w:t>
            </w:r>
          </w:p>
        </w:tc>
        <w:tc>
          <w:tcPr>
            <w:tcW w:w="2457"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hint="eastAsia" w:ascii="宋体" w:hAnsi="宋体"/>
                <w:szCs w:val="21"/>
              </w:rPr>
              <w:t>GB/T 28846-2012</w:t>
            </w:r>
          </w:p>
        </w:tc>
        <w:tc>
          <w:tcPr>
            <w:tcW w:w="2729" w:type="dxa"/>
            <w:tcMar>
              <w:top w:w="0" w:type="dxa"/>
              <w:left w:w="70" w:type="dxa"/>
              <w:bottom w:w="0" w:type="dxa"/>
              <w:right w:w="70" w:type="dxa"/>
            </w:tcMar>
            <w:vAlign w:val="center"/>
          </w:tcPr>
          <w:p>
            <w:pPr>
              <w:spacing w:line="360" w:lineRule="auto"/>
              <w:jc w:val="center"/>
              <w:rPr>
                <w:rFonts w:ascii="宋体" w:hAnsi="宋体"/>
                <w:color w:val="000000"/>
                <w:szCs w:val="21"/>
              </w:rPr>
            </w:pPr>
            <w:r>
              <w:rPr>
                <w:rFonts w:ascii="宋体" w:hAnsi="宋体"/>
                <w:szCs w:val="21"/>
              </w:rPr>
              <w:t>G</w:t>
            </w:r>
            <w:r>
              <w:rPr>
                <w:rFonts w:hint="eastAsia" w:ascii="宋体" w:hAnsi="宋体"/>
                <w:szCs w:val="21"/>
              </w:rPr>
              <w:t>B/T 3923.1-2013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8296" w:type="dxa"/>
            <w:gridSpan w:val="4"/>
            <w:tcMar>
              <w:top w:w="0" w:type="dxa"/>
              <w:left w:w="70" w:type="dxa"/>
              <w:bottom w:w="0" w:type="dxa"/>
              <w:right w:w="70" w:type="dxa"/>
            </w:tcMar>
            <w:vAlign w:val="center"/>
          </w:tcPr>
          <w:p>
            <w:pPr>
              <w:spacing w:line="288" w:lineRule="auto"/>
              <w:jc w:val="left"/>
              <w:rPr>
                <w:rFonts w:ascii="宋体" w:hAnsi="宋体"/>
                <w:color w:val="000000"/>
                <w:szCs w:val="21"/>
              </w:rPr>
            </w:pPr>
            <w:r>
              <w:rPr>
                <w:rFonts w:hint="eastAsia" w:ascii="宋体" w:hAnsi="宋体"/>
                <w:color w:val="000000"/>
                <w:szCs w:val="21"/>
              </w:rPr>
              <w:t>备注：</w:t>
            </w:r>
          </w:p>
          <w:p>
            <w:pPr>
              <w:pStyle w:val="18"/>
              <w:numPr>
                <w:ilvl w:val="0"/>
                <w:numId w:val="2"/>
              </w:numPr>
              <w:spacing w:line="288" w:lineRule="auto"/>
              <w:ind w:left="0" w:firstLine="0" w:firstLineChars="0"/>
              <w:jc w:val="left"/>
              <w:rPr>
                <w:rFonts w:ascii="宋体" w:hAnsi="宋体"/>
                <w:color w:val="000000"/>
                <w:szCs w:val="21"/>
              </w:rPr>
            </w:pPr>
            <w:r>
              <w:rPr>
                <w:rFonts w:hint="eastAsia" w:ascii="宋体" w:hAnsi="宋体"/>
                <w:color w:val="000000"/>
                <w:szCs w:val="21"/>
              </w:rPr>
              <w:t>纺织品可分解致癌芳香胺染料检测采用GC/MS定性，出现阳性结果时用HPLC/DAD进一步确认和定量。②若无法区分经纬方向，则默认所有样品平行于底边方向为同一方向，且仅检测平行于底边方向作为测试结果。</w:t>
            </w:r>
          </w:p>
        </w:tc>
      </w:tr>
    </w:tbl>
    <w:p>
      <w:pPr>
        <w:snapToGrid w:val="0"/>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w:t>
      </w: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18401-2010 国家纺织产品基本安全技术规范</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31701-2015 婴幼儿及儿童纺织产品安全技术规范</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w:t>
      </w:r>
      <w:r>
        <w:rPr>
          <w:rFonts w:ascii="宋体" w:hAnsi="宋体"/>
          <w:color w:val="000000"/>
          <w:szCs w:val="21"/>
        </w:rPr>
        <w:t>/</w:t>
      </w:r>
      <w:r>
        <w:rPr>
          <w:rFonts w:hint="eastAsia" w:ascii="宋体" w:hAnsi="宋体"/>
          <w:color w:val="000000"/>
          <w:szCs w:val="21"/>
        </w:rPr>
        <w:t>T 28846-2012</w:t>
      </w:r>
      <w:r>
        <w:rPr>
          <w:rFonts w:ascii="宋体" w:hAnsi="宋体"/>
          <w:color w:val="000000"/>
          <w:szCs w:val="21"/>
        </w:rPr>
        <w:t xml:space="preserve"> </w:t>
      </w:r>
      <w:r>
        <w:rPr>
          <w:rFonts w:hint="eastAsia" w:ascii="宋体" w:hAnsi="宋体"/>
          <w:color w:val="000000"/>
          <w:szCs w:val="21"/>
        </w:rPr>
        <w:t>红领巾</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29862-2013 纺织品 纤维含量的标识</w:t>
      </w:r>
    </w:p>
    <w:p>
      <w:pPr>
        <w:snapToGrid w:val="0"/>
        <w:spacing w:line="440" w:lineRule="exact"/>
        <w:ind w:firstLine="420" w:firstLineChars="200"/>
        <w:rPr>
          <w:rFonts w:ascii="宋体" w:hAnsi="宋体"/>
          <w:color w:val="000000"/>
          <w:szCs w:val="21"/>
        </w:rPr>
      </w:pPr>
      <w:r>
        <w:rPr>
          <w:rFonts w:hint="eastAsia" w:ascii="宋体" w:hAnsi="宋体" w:cs="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pacing w:line="440" w:lineRule="exact"/>
        <w:rPr>
          <w:rFonts w:ascii="宋体" w:hAnsi="宋体"/>
          <w:color w:val="000000"/>
          <w:szCs w:val="21"/>
        </w:rPr>
      </w:pPr>
      <w:r>
        <w:rPr>
          <w:rFonts w:hint="eastAsia" w:ascii="宋体" w:hAnsi="宋体"/>
          <w:color w:val="000000"/>
          <w:szCs w:val="21"/>
        </w:rPr>
        <w:t>3.2判定原则</w:t>
      </w:r>
    </w:p>
    <w:p>
      <w:pPr>
        <w:pStyle w:val="4"/>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经检验，检验项目全部合格，判定为被抽查产品合格；检验项目中任一项或一项以上不合格，判定为被抽查产品不合格。</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若被检产品明示的质量要求高于本规范中检验项目依据的标准要求时，应按被检产品明示的质量要求判定。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若被检产品明示的质量要求低于本规范中检验项目依据的强制性标准要求时，应按照强制性标准要求判定。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若被检产品明示的质量要求低于或包含规范中检验项目依据的推荐性标准要求时，应以被检产品明示的质量要求判定。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若被检产品明示的质量要求缺少本规范中检验项目依据的强制性标准要求时，应按照强制性标准要求判定。</w:t>
      </w:r>
    </w:p>
    <w:p>
      <w:pPr>
        <w:pStyle w:val="4"/>
        <w:adjustRightInd w:val="0"/>
        <w:snapToGrid w:val="0"/>
        <w:spacing w:line="440" w:lineRule="exact"/>
        <w:ind w:firstLine="420" w:firstLineChars="200"/>
      </w:pPr>
      <w:r>
        <w:rPr>
          <w:rFonts w:hint="eastAsia" w:hAnsi="宋体"/>
          <w:color w:val="000000" w:themeColor="text1"/>
          <w14:textFill>
            <w14:solidFill>
              <w14:schemeClr w14:val="tx1"/>
            </w14:solidFill>
          </w14:textFill>
        </w:rPr>
        <w:t>若被检产品明示的质量要求缺少本规范中检验项目依据的推荐性标准要求时，该项目不参与判定，但应在检验报告备注中进行说明。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21FF2D"/>
    <w:multiLevelType w:val="singleLevel"/>
    <w:tmpl w:val="9121FF2D"/>
    <w:lvl w:ilvl="0" w:tentative="0">
      <w:start w:val="1"/>
      <w:numFmt w:val="decimal"/>
      <w:lvlText w:val="%1"/>
      <w:lvlJc w:val="left"/>
      <w:pPr>
        <w:tabs>
          <w:tab w:val="left" w:pos="420"/>
        </w:tabs>
        <w:ind w:left="425" w:hanging="425"/>
      </w:pPr>
      <w:rPr>
        <w:rFonts w:hint="default"/>
      </w:rPr>
    </w:lvl>
  </w:abstractNum>
  <w:abstractNum w:abstractNumId="1">
    <w:nsid w:val="71CF71A6"/>
    <w:multiLevelType w:val="multilevel"/>
    <w:tmpl w:val="71CF71A6"/>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5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574375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uiPriority w:val="99"/>
    <w:pPr>
      <w:jc w:val="left"/>
    </w:pPr>
  </w:style>
  <w:style w:type="paragraph" w:styleId="4">
    <w:name w:val="Plain Text"/>
    <w:basedOn w:val="1"/>
    <w:link w:val="12"/>
    <w:qFormat/>
    <w:uiPriority w:val="0"/>
    <w:rPr>
      <w:rFonts w:ascii="宋体" w:hAnsi="Courier New" w:eastAsia="宋体" w:cs="Times New Roman"/>
      <w:szCs w:val="20"/>
    </w:rPr>
  </w:style>
  <w:style w:type="paragraph" w:styleId="5">
    <w:name w:val="Balloon Text"/>
    <w:basedOn w:val="1"/>
    <w:link w:val="17"/>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u w:val="single"/>
    </w:rPr>
  </w:style>
  <w:style w:type="character" w:styleId="10">
    <w:name w:val="annotation reference"/>
    <w:basedOn w:val="8"/>
    <w:unhideWhenUsed/>
    <w:qFormat/>
    <w:uiPriority w:val="99"/>
    <w:rPr>
      <w:sz w:val="21"/>
      <w:szCs w:val="21"/>
    </w:rPr>
  </w:style>
  <w:style w:type="character" w:customStyle="1" w:styleId="12">
    <w:name w:val="纯文本 字符"/>
    <w:basedOn w:val="8"/>
    <w:link w:val="4"/>
    <w:qFormat/>
    <w:uiPriority w:val="0"/>
    <w:rPr>
      <w:rFonts w:ascii="宋体" w:hAnsi="Courier New" w:eastAsia="宋体" w:cs="Times New Roman"/>
      <w:szCs w:val="20"/>
    </w:rPr>
  </w:style>
  <w:style w:type="character" w:customStyle="1" w:styleId="13">
    <w:name w:val="页眉 字符"/>
    <w:basedOn w:val="8"/>
    <w:link w:val="7"/>
    <w:qFormat/>
    <w:uiPriority w:val="99"/>
    <w:rPr>
      <w:sz w:val="18"/>
      <w:szCs w:val="18"/>
    </w:rPr>
  </w:style>
  <w:style w:type="character" w:customStyle="1" w:styleId="14">
    <w:name w:val="页脚 字符"/>
    <w:basedOn w:val="8"/>
    <w:link w:val="6"/>
    <w:qFormat/>
    <w:uiPriority w:val="99"/>
    <w:rPr>
      <w:sz w:val="18"/>
      <w:szCs w:val="18"/>
    </w:rPr>
  </w:style>
  <w:style w:type="character" w:customStyle="1" w:styleId="15">
    <w:name w:val="批注文字 字符"/>
    <w:basedOn w:val="8"/>
    <w:link w:val="3"/>
    <w:semiHidden/>
    <w:qFormat/>
    <w:uiPriority w:val="99"/>
    <w:rPr>
      <w:rFonts w:asciiTheme="minorHAnsi" w:hAnsiTheme="minorHAnsi" w:eastAsiaTheme="minorEastAsia" w:cstheme="minorBidi"/>
      <w:kern w:val="2"/>
      <w:sz w:val="21"/>
      <w:szCs w:val="22"/>
    </w:rPr>
  </w:style>
  <w:style w:type="character" w:customStyle="1" w:styleId="16">
    <w:name w:val="批注主题 字符"/>
    <w:basedOn w:val="15"/>
    <w:link w:val="2"/>
    <w:semiHidden/>
    <w:qFormat/>
    <w:uiPriority w:val="99"/>
    <w:rPr>
      <w:rFonts w:asciiTheme="minorHAnsi" w:hAnsiTheme="minorHAnsi" w:eastAsiaTheme="minorEastAsia" w:cstheme="minorBidi"/>
      <w:b/>
      <w:bCs/>
      <w:kern w:val="2"/>
      <w:sz w:val="21"/>
      <w:szCs w:val="22"/>
    </w:rPr>
  </w:style>
  <w:style w:type="character" w:customStyle="1" w:styleId="17">
    <w:name w:val="批注框文本 字符"/>
    <w:basedOn w:val="8"/>
    <w:link w:val="5"/>
    <w:semiHidden/>
    <w:qFormat/>
    <w:uiPriority w:val="99"/>
    <w:rPr>
      <w:rFonts w:asciiTheme="minorHAnsi" w:hAnsiTheme="minorHAnsi" w:eastAsiaTheme="minorEastAsia" w:cstheme="minorBidi"/>
      <w:kern w:val="2"/>
      <w:sz w:val="18"/>
      <w:szCs w:val="18"/>
    </w:rPr>
  </w:style>
  <w:style w:type="paragraph" w:customStyle="1" w:styleId="1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241</Words>
  <Characters>1374</Characters>
  <Lines>11</Lines>
  <Paragraphs>3</Paragraphs>
  <TotalTime>0</TotalTime>
  <ScaleCrop>false</ScaleCrop>
  <LinksUpToDate>false</LinksUpToDate>
  <CharactersWithSpaces>1612</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2021-08-19T01:34:00Z</dcterms:created>
  <dc:creator>HP</dc:creator>
  <cp:lastModifiedBy>张健</cp:lastModifiedBy>
  <dcterms:modified xsi:type="dcterms:W3CDTF">2021-12-16T01:17:04Z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ICV">
    <vt:lpwstr>3F09B3910CA14D2FBD350F03C1CB7252</vt:lpwstr>
  </property>
</Properties>
</file>