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napToGrid w:val="0"/>
        <w:spacing w:line="360" w:lineRule="auto"/>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重庆市安全帽（普通型）产品质量监督抽查实施细则（2021年）</w:t>
      </w:r>
    </w:p>
    <w:p>
      <w:pPr>
        <w:snapToGrid w:val="0"/>
        <w:spacing w:line="440" w:lineRule="exact"/>
        <w:rPr>
          <w:rFonts w:ascii="黑体" w:eastAsia="黑体" w:hAnsi="宋体"/>
          <w:szCs w:val="21"/>
        </w:rPr>
      </w:pPr>
      <w:r>
        <w:rPr>
          <w:rFonts w:ascii="黑体" w:eastAsia="黑体" w:hAnsi="宋体" w:hint="eastAsia"/>
          <w:szCs w:val="21"/>
        </w:rPr>
        <w:t>1 抽样方法</w:t>
      </w:r>
    </w:p>
    <w:p>
      <w:pPr>
        <w:snapToGrid w:val="0"/>
        <w:spacing w:line="440" w:lineRule="exact"/>
        <w:ind w:firstLineChars="200" w:firstLine="420"/>
        <w:rPr>
          <w:rFonts w:ascii="宋体" w:hAnsi="宋体"/>
          <w:szCs w:val="21"/>
        </w:rPr>
      </w:pPr>
      <w:r>
        <w:rPr>
          <w:rFonts w:ascii="宋体" w:hAnsi="宋体" w:hint="eastAsia"/>
          <w:szCs w:val="21"/>
        </w:rPr>
        <w:t>在销售者的待销产品中随机抽取有产品质量检验合格证明或者以其他形式表明合格的、近期生产的产品。</w:t>
      </w:r>
    </w:p>
    <w:p>
      <w:pPr>
        <w:snapToGrid w:val="0"/>
        <w:spacing w:line="440" w:lineRule="exact"/>
        <w:ind w:firstLineChars="200" w:firstLine="420"/>
        <w:rPr>
          <w:rFonts w:ascii="宋体" w:hAnsi="宋体"/>
          <w:szCs w:val="21"/>
        </w:rPr>
      </w:pPr>
      <w:r>
        <w:rPr>
          <w:rFonts w:ascii="宋体" w:hAnsi="宋体" w:hint="eastAsia"/>
          <w:szCs w:val="21"/>
        </w:rPr>
        <w:t>抽查样品基数满足抽样数量即可。</w:t>
      </w:r>
    </w:p>
    <w:p>
      <w:pPr>
        <w:snapToGrid w:val="0"/>
        <w:spacing w:line="440" w:lineRule="exact"/>
        <w:ind w:firstLineChars="200" w:firstLine="420"/>
        <w:rPr>
          <w:rFonts w:ascii="宋体" w:hAnsi="宋体"/>
          <w:szCs w:val="21"/>
        </w:rPr>
      </w:pPr>
      <w:r>
        <w:rPr>
          <w:rFonts w:ascii="宋体" w:hAnsi="宋体" w:hint="eastAsia"/>
          <w:color w:val="333333"/>
          <w:szCs w:val="21"/>
        </w:rPr>
        <w:t>同一生产者按照同一标准生产的同一商标、同一材质、同一款式</w:t>
      </w:r>
      <w:r>
        <w:rPr>
          <w:color w:val="333333"/>
          <w:szCs w:val="21"/>
        </w:rPr>
        <w:t>（货</w:t>
      </w:r>
      <w:r>
        <w:rPr>
          <w:color w:val="333333"/>
          <w:szCs w:val="21"/>
        </w:rPr>
        <w:t>/</w:t>
      </w:r>
      <w:r>
        <w:rPr>
          <w:color w:val="333333"/>
          <w:szCs w:val="21"/>
        </w:rPr>
        <w:t>款号）</w:t>
      </w:r>
      <w:r>
        <w:rPr>
          <w:rFonts w:ascii="宋体" w:hAnsi="宋体" w:hint="eastAsia"/>
          <w:color w:val="333333"/>
          <w:szCs w:val="21"/>
        </w:rPr>
        <w:t>、同一颜色的</w:t>
      </w:r>
      <w:r>
        <w:rPr>
          <w:rFonts w:ascii="宋体" w:hAnsi="宋体" w:hint="eastAsia"/>
          <w:szCs w:val="21"/>
        </w:rPr>
        <w:t>产品抽取样品12顶，其中6顶作为检验样品，6顶作为备用样品。</w:t>
      </w:r>
    </w:p>
    <w:p>
      <w:pPr>
        <w:snapToGrid w:val="0"/>
        <w:spacing w:line="440" w:lineRule="exact"/>
        <w:ind w:firstLineChars="200" w:firstLine="420"/>
        <w:rPr>
          <w:rFonts w:ascii="宋体" w:hAnsi="宋体"/>
          <w:szCs w:val="21"/>
        </w:rPr>
      </w:pPr>
      <w:r>
        <w:rPr>
          <w:rFonts w:ascii="宋体" w:hAnsi="宋体" w:hint="eastAsia"/>
          <w:szCs w:val="21"/>
        </w:rPr>
        <w:t>随机数抽样，随机数一般可使用随机数表、随机数骰子或扑克牌等方法产生。</w:t>
      </w:r>
    </w:p>
    <w:p>
      <w:pPr>
        <w:snapToGrid w:val="0"/>
        <w:spacing w:line="440" w:lineRule="exact"/>
        <w:rPr>
          <w:rFonts w:ascii="宋体" w:hAnsi="宋体"/>
          <w:szCs w:val="21"/>
        </w:rPr>
      </w:pPr>
    </w:p>
    <w:p>
      <w:pPr>
        <w:snapToGrid w:val="0"/>
        <w:spacing w:line="440" w:lineRule="exact"/>
        <w:rPr>
          <w:rFonts w:ascii="黑体" w:eastAsia="黑体" w:hAnsi="宋体"/>
          <w:szCs w:val="21"/>
        </w:rPr>
      </w:pPr>
      <w:r>
        <w:rPr>
          <w:rFonts w:ascii="黑体" w:eastAsia="黑体" w:hAnsi="宋体" w:hint="eastAsia"/>
          <w:szCs w:val="21"/>
        </w:rPr>
        <w:t>2 检验依据</w:t>
      </w:r>
    </w:p>
    <w:p>
      <w:pPr>
        <w:snapToGrid w:val="0"/>
        <w:spacing w:line="440" w:lineRule="exact"/>
        <w:jc w:val="center"/>
        <w:rPr>
          <w:rFonts w:ascii="宋体" w:hAnsi="宋体"/>
          <w:szCs w:val="21"/>
        </w:rPr>
      </w:pPr>
      <w:r>
        <w:rPr>
          <w:rFonts w:ascii="宋体" w:hAnsi="宋体" w:hint="eastAsia"/>
          <w:szCs w:val="21"/>
        </w:rPr>
        <w:t xml:space="preserve">表1  </w:t>
      </w:r>
      <w:r>
        <w:rPr>
          <w:rFonts w:ascii="宋体" w:hAnsi="宋体" w:hint="eastAsia"/>
          <w:color w:val="000000"/>
          <w:szCs w:val="21"/>
        </w:rPr>
        <w:t>安全帽（GB 2811-2019）</w:t>
      </w:r>
      <w:r>
        <w:rPr>
          <w:rFonts w:ascii="宋体" w:hAnsi="宋体" w:hint="eastAsia"/>
          <w:szCs w:val="21"/>
        </w:rPr>
        <w:t>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
        <w:gridCol w:w="2502"/>
        <w:gridCol w:w="2633"/>
        <w:gridCol w:w="2628"/>
      </w:tblGrid>
      <w:tr>
        <w:trPr>
          <w:jc w:val="center"/>
        </w:trPr>
        <w:tc>
          <w:tcPr>
            <w:tcW w:w="445" w:type="pct"/>
          </w:tcPr>
          <w:p>
            <w:pPr>
              <w:snapToGrid w:val="0"/>
              <w:spacing w:line="440" w:lineRule="exact"/>
              <w:jc w:val="center"/>
              <w:rPr>
                <w:rFonts w:ascii="宋体" w:hAnsi="宋体"/>
                <w:szCs w:val="21"/>
              </w:rPr>
            </w:pPr>
            <w:r>
              <w:rPr>
                <w:rFonts w:ascii="宋体" w:hAnsi="宋体" w:hint="eastAsia"/>
                <w:szCs w:val="21"/>
              </w:rPr>
              <w:t>序号</w:t>
            </w:r>
          </w:p>
        </w:tc>
        <w:tc>
          <w:tcPr>
            <w:tcW w:w="1468" w:type="pct"/>
          </w:tcPr>
          <w:p>
            <w:pPr>
              <w:snapToGrid w:val="0"/>
              <w:spacing w:line="440" w:lineRule="exact"/>
              <w:jc w:val="center"/>
              <w:rPr>
                <w:rFonts w:ascii="宋体" w:hAnsi="宋体"/>
                <w:szCs w:val="21"/>
              </w:rPr>
            </w:pPr>
            <w:r>
              <w:rPr>
                <w:rFonts w:ascii="宋体" w:hAnsi="宋体" w:hint="eastAsia"/>
                <w:szCs w:val="21"/>
              </w:rPr>
              <w:t>检验项目</w:t>
            </w:r>
          </w:p>
        </w:tc>
        <w:tc>
          <w:tcPr>
            <w:tcW w:w="1545" w:type="pct"/>
          </w:tcPr>
          <w:p>
            <w:pPr>
              <w:snapToGrid w:val="0"/>
              <w:spacing w:line="440" w:lineRule="exact"/>
              <w:jc w:val="center"/>
              <w:rPr>
                <w:rFonts w:ascii="宋体" w:hAnsi="宋体"/>
                <w:szCs w:val="21"/>
              </w:rPr>
            </w:pPr>
            <w:r>
              <w:rPr>
                <w:rFonts w:ascii="宋体" w:hAnsi="宋体" w:hint="eastAsia"/>
                <w:szCs w:val="21"/>
              </w:rPr>
              <w:t>判定依据</w:t>
            </w:r>
          </w:p>
        </w:tc>
        <w:tc>
          <w:tcPr>
            <w:tcW w:w="1542" w:type="pct"/>
          </w:tcPr>
          <w:p>
            <w:pPr>
              <w:snapToGrid w:val="0"/>
              <w:spacing w:line="440" w:lineRule="exact"/>
              <w:jc w:val="center"/>
              <w:rPr>
                <w:rFonts w:ascii="宋体" w:hAnsi="宋体"/>
                <w:szCs w:val="21"/>
              </w:rPr>
            </w:pPr>
            <w:r>
              <w:rPr>
                <w:rFonts w:ascii="宋体" w:hAnsi="宋体" w:hint="eastAsia"/>
                <w:szCs w:val="21"/>
              </w:rPr>
              <w:t>检验方法</w:t>
            </w:r>
          </w:p>
        </w:tc>
      </w:tr>
      <w:tr>
        <w:trPr>
          <w:jc w:val="center"/>
        </w:trPr>
        <w:tc>
          <w:tcPr>
            <w:tcW w:w="445" w:type="pct"/>
            <w:vAlign w:val="center"/>
          </w:tcPr>
          <w:p>
            <w:pPr>
              <w:snapToGrid w:val="0"/>
              <w:spacing w:line="440" w:lineRule="exact"/>
              <w:jc w:val="center"/>
              <w:rPr>
                <w:rFonts w:ascii="宋体" w:hAnsi="宋体"/>
                <w:szCs w:val="21"/>
              </w:rPr>
            </w:pPr>
            <w:r>
              <w:rPr>
                <w:rFonts w:ascii="宋体" w:hAnsi="宋体" w:hint="eastAsia"/>
                <w:color w:val="000000"/>
                <w:szCs w:val="21"/>
              </w:rPr>
              <w:t>1</w:t>
            </w:r>
          </w:p>
        </w:tc>
        <w:tc>
          <w:tcPr>
            <w:tcW w:w="1468" w:type="pct"/>
            <w:vAlign w:val="center"/>
          </w:tcPr>
          <w:p>
            <w:pPr>
              <w:snapToGrid w:val="0"/>
              <w:spacing w:line="440" w:lineRule="exact"/>
              <w:jc w:val="center"/>
              <w:rPr>
                <w:rFonts w:ascii="宋体" w:hAnsi="宋体"/>
                <w:szCs w:val="21"/>
              </w:rPr>
            </w:pPr>
            <w:r>
              <w:rPr>
                <w:rFonts w:ascii="宋体" w:hAnsi="宋体" w:hint="eastAsia"/>
                <w:color w:val="000000"/>
                <w:szCs w:val="21"/>
              </w:rPr>
              <w:t>垂直间距</w:t>
            </w:r>
            <w:r>
              <w:rPr>
                <w:rFonts w:ascii="宋体" w:hAnsi="宋体" w:hint="eastAsia"/>
                <w:color w:val="000000"/>
                <w:szCs w:val="21"/>
                <w:vertAlign w:val="superscript"/>
              </w:rPr>
              <w:t>①</w:t>
            </w:r>
          </w:p>
        </w:tc>
        <w:tc>
          <w:tcPr>
            <w:tcW w:w="1545" w:type="pct"/>
            <w:vAlign w:val="center"/>
          </w:tcPr>
          <w:p>
            <w:pPr>
              <w:snapToGrid w:val="0"/>
              <w:spacing w:line="440" w:lineRule="exact"/>
              <w:jc w:val="center"/>
              <w:rPr>
                <w:rFonts w:ascii="宋体" w:hAnsi="宋体"/>
                <w:szCs w:val="21"/>
              </w:rPr>
            </w:pPr>
            <w:r>
              <w:rPr>
                <w:rFonts w:ascii="宋体" w:hAnsi="宋体" w:hint="eastAsia"/>
                <w:color w:val="000000"/>
                <w:szCs w:val="21"/>
              </w:rPr>
              <w:t>GB 2811-2019</w:t>
            </w:r>
          </w:p>
        </w:tc>
        <w:tc>
          <w:tcPr>
            <w:tcW w:w="1542" w:type="pct"/>
            <w:vAlign w:val="center"/>
          </w:tcPr>
          <w:p>
            <w:pPr>
              <w:snapToGrid w:val="0"/>
              <w:spacing w:line="440" w:lineRule="exact"/>
              <w:jc w:val="center"/>
              <w:rPr>
                <w:rFonts w:ascii="宋体" w:hAnsi="宋体"/>
                <w:szCs w:val="21"/>
              </w:rPr>
            </w:pPr>
            <w:r>
              <w:rPr>
                <w:rFonts w:ascii="宋体" w:hAnsi="宋体" w:hint="eastAsia"/>
                <w:color w:val="000000"/>
                <w:szCs w:val="21"/>
              </w:rPr>
              <w:t>GB/T 2812-2006 4.2</w:t>
            </w:r>
          </w:p>
        </w:tc>
      </w:tr>
      <w:tr>
        <w:trPr>
          <w:jc w:val="center"/>
        </w:trPr>
        <w:tc>
          <w:tcPr>
            <w:tcW w:w="445" w:type="pct"/>
            <w:vAlign w:val="center"/>
          </w:tcPr>
          <w:p>
            <w:pPr>
              <w:snapToGrid w:val="0"/>
              <w:spacing w:line="440" w:lineRule="exact"/>
              <w:jc w:val="center"/>
              <w:rPr>
                <w:rFonts w:ascii="宋体" w:hAnsi="宋体"/>
                <w:szCs w:val="21"/>
              </w:rPr>
            </w:pPr>
            <w:r>
              <w:rPr>
                <w:rFonts w:ascii="宋体" w:hAnsi="宋体" w:hint="eastAsia"/>
                <w:color w:val="000000"/>
                <w:szCs w:val="21"/>
              </w:rPr>
              <w:t>2</w:t>
            </w:r>
          </w:p>
        </w:tc>
        <w:tc>
          <w:tcPr>
            <w:tcW w:w="1468" w:type="pct"/>
            <w:vAlign w:val="center"/>
          </w:tcPr>
          <w:p>
            <w:pPr>
              <w:snapToGrid w:val="0"/>
              <w:spacing w:line="440" w:lineRule="exact"/>
              <w:jc w:val="center"/>
              <w:rPr>
                <w:rFonts w:ascii="宋体" w:hAnsi="宋体"/>
                <w:szCs w:val="21"/>
              </w:rPr>
            </w:pPr>
            <w:r>
              <w:rPr>
                <w:rFonts w:ascii="宋体" w:hAnsi="宋体" w:hint="eastAsia"/>
                <w:color w:val="000000"/>
                <w:szCs w:val="21"/>
              </w:rPr>
              <w:t>帽壳内突出物</w:t>
            </w:r>
            <w:r>
              <w:rPr>
                <w:rFonts w:ascii="宋体" w:hAnsi="宋体" w:hint="eastAsia"/>
                <w:color w:val="000000"/>
                <w:szCs w:val="21"/>
                <w:vertAlign w:val="superscript"/>
              </w:rPr>
              <w:t>①</w:t>
            </w:r>
          </w:p>
        </w:tc>
        <w:tc>
          <w:tcPr>
            <w:tcW w:w="1545" w:type="pct"/>
            <w:vAlign w:val="center"/>
          </w:tcPr>
          <w:p>
            <w:pPr>
              <w:snapToGrid w:val="0"/>
              <w:spacing w:line="440" w:lineRule="exact"/>
              <w:jc w:val="center"/>
              <w:rPr>
                <w:rFonts w:ascii="宋体" w:hAnsi="宋体"/>
                <w:szCs w:val="21"/>
              </w:rPr>
            </w:pPr>
            <w:r>
              <w:rPr>
                <w:rFonts w:ascii="宋体" w:hAnsi="宋体" w:hint="eastAsia"/>
                <w:color w:val="000000"/>
                <w:szCs w:val="21"/>
              </w:rPr>
              <w:t>GB 2811-2019</w:t>
            </w:r>
          </w:p>
        </w:tc>
        <w:tc>
          <w:tcPr>
            <w:tcW w:w="1542" w:type="pct"/>
            <w:vAlign w:val="center"/>
          </w:tcPr>
          <w:p>
            <w:pPr>
              <w:snapToGrid w:val="0"/>
              <w:spacing w:line="440" w:lineRule="exact"/>
              <w:jc w:val="center"/>
              <w:rPr>
                <w:rFonts w:ascii="宋体" w:hAnsi="宋体"/>
                <w:szCs w:val="21"/>
              </w:rPr>
            </w:pPr>
            <w:r>
              <w:rPr>
                <w:rFonts w:ascii="宋体" w:hAnsi="宋体" w:hint="eastAsia"/>
                <w:color w:val="000000"/>
                <w:szCs w:val="21"/>
              </w:rPr>
              <w:t>GB 2811-2019 5.2.12</w:t>
            </w:r>
          </w:p>
        </w:tc>
      </w:tr>
      <w:tr>
        <w:trPr>
          <w:jc w:val="center"/>
        </w:trPr>
        <w:tc>
          <w:tcPr>
            <w:tcW w:w="445" w:type="pct"/>
            <w:vAlign w:val="center"/>
          </w:tcPr>
          <w:p>
            <w:pPr>
              <w:snapToGrid w:val="0"/>
              <w:spacing w:line="440" w:lineRule="exact"/>
              <w:jc w:val="center"/>
              <w:rPr>
                <w:rFonts w:ascii="宋体" w:hAnsi="宋体"/>
                <w:szCs w:val="21"/>
              </w:rPr>
            </w:pPr>
            <w:r>
              <w:rPr>
                <w:rFonts w:ascii="宋体" w:hAnsi="宋体" w:hint="eastAsia"/>
                <w:color w:val="000000"/>
                <w:szCs w:val="21"/>
              </w:rPr>
              <w:t>3</w:t>
            </w:r>
          </w:p>
        </w:tc>
        <w:tc>
          <w:tcPr>
            <w:tcW w:w="1468" w:type="pct"/>
            <w:vAlign w:val="center"/>
          </w:tcPr>
          <w:p>
            <w:pPr>
              <w:snapToGrid w:val="0"/>
              <w:spacing w:line="440" w:lineRule="exact"/>
              <w:jc w:val="center"/>
              <w:rPr>
                <w:rFonts w:ascii="宋体" w:hAnsi="宋体"/>
                <w:color w:val="000000"/>
                <w:szCs w:val="21"/>
              </w:rPr>
            </w:pPr>
            <w:r>
              <w:rPr>
                <w:rFonts w:ascii="宋体" w:hAnsi="宋体" w:hint="eastAsia"/>
                <w:color w:val="000000"/>
                <w:szCs w:val="21"/>
              </w:rPr>
              <w:t>冲击吸收性能</w:t>
            </w:r>
            <w:r>
              <w:rPr>
                <w:rFonts w:ascii="宋体" w:hAnsi="宋体" w:hint="eastAsia"/>
                <w:color w:val="000000"/>
                <w:szCs w:val="21"/>
                <w:vertAlign w:val="superscript"/>
              </w:rPr>
              <w:t>②</w:t>
            </w:r>
          </w:p>
          <w:p>
            <w:pPr>
              <w:snapToGrid w:val="0"/>
              <w:spacing w:line="440" w:lineRule="exact"/>
              <w:jc w:val="center"/>
              <w:rPr>
                <w:rFonts w:ascii="宋体" w:hAnsi="宋体"/>
                <w:color w:val="000000"/>
                <w:szCs w:val="21"/>
              </w:rPr>
            </w:pPr>
            <w:r>
              <w:rPr>
                <w:rFonts w:ascii="宋体" w:hAnsi="宋体"/>
                <w:color w:val="000000"/>
                <w:szCs w:val="21"/>
              </w:rPr>
              <w:t>(</w:t>
            </w:r>
            <w:r>
              <w:rPr>
                <w:rFonts w:ascii="宋体" w:hAnsi="宋体" w:hint="eastAsia"/>
                <w:color w:val="000000"/>
                <w:szCs w:val="21"/>
              </w:rPr>
              <w:t>高温、低温、浸水</w:t>
            </w:r>
            <w:r>
              <w:rPr>
                <w:rFonts w:ascii="宋体" w:hAnsi="宋体"/>
                <w:color w:val="000000"/>
                <w:szCs w:val="21"/>
              </w:rPr>
              <w:t>)</w:t>
            </w:r>
          </w:p>
        </w:tc>
        <w:tc>
          <w:tcPr>
            <w:tcW w:w="1545" w:type="pct"/>
            <w:vAlign w:val="center"/>
          </w:tcPr>
          <w:p>
            <w:pPr>
              <w:snapToGrid w:val="0"/>
              <w:spacing w:line="440" w:lineRule="exact"/>
              <w:jc w:val="center"/>
              <w:rPr>
                <w:rFonts w:ascii="宋体" w:hAnsi="宋体"/>
                <w:szCs w:val="21"/>
              </w:rPr>
            </w:pPr>
            <w:r>
              <w:rPr>
                <w:rFonts w:ascii="宋体" w:hAnsi="宋体" w:hint="eastAsia"/>
                <w:color w:val="000000"/>
                <w:szCs w:val="21"/>
              </w:rPr>
              <w:t>GB 2811-2019</w:t>
            </w:r>
          </w:p>
        </w:tc>
        <w:tc>
          <w:tcPr>
            <w:tcW w:w="1542" w:type="pct"/>
            <w:vAlign w:val="center"/>
          </w:tcPr>
          <w:p>
            <w:pPr>
              <w:snapToGrid w:val="0"/>
              <w:spacing w:line="440" w:lineRule="exact"/>
              <w:jc w:val="center"/>
              <w:rPr>
                <w:rFonts w:ascii="宋体" w:hAnsi="宋体"/>
                <w:szCs w:val="21"/>
              </w:rPr>
            </w:pPr>
            <w:r>
              <w:rPr>
                <w:rFonts w:ascii="宋体" w:hAnsi="宋体" w:hint="eastAsia"/>
                <w:color w:val="000000"/>
                <w:szCs w:val="21"/>
              </w:rPr>
              <w:t>GB/T 2812-2006 4.3</w:t>
            </w:r>
          </w:p>
        </w:tc>
      </w:tr>
      <w:tr>
        <w:trPr>
          <w:jc w:val="center"/>
        </w:trPr>
        <w:tc>
          <w:tcPr>
            <w:tcW w:w="445" w:type="pct"/>
            <w:vAlign w:val="center"/>
          </w:tcPr>
          <w:p>
            <w:pPr>
              <w:snapToGrid w:val="0"/>
              <w:spacing w:line="440" w:lineRule="exact"/>
              <w:jc w:val="center"/>
              <w:rPr>
                <w:rFonts w:ascii="宋体" w:hAnsi="宋体"/>
                <w:szCs w:val="21"/>
              </w:rPr>
            </w:pPr>
            <w:r>
              <w:rPr>
                <w:rFonts w:ascii="宋体" w:hAnsi="宋体" w:hint="eastAsia"/>
                <w:color w:val="000000"/>
                <w:szCs w:val="21"/>
              </w:rPr>
              <w:t>4</w:t>
            </w:r>
          </w:p>
        </w:tc>
        <w:tc>
          <w:tcPr>
            <w:tcW w:w="1468" w:type="pct"/>
            <w:vAlign w:val="center"/>
          </w:tcPr>
          <w:p>
            <w:pPr>
              <w:snapToGrid w:val="0"/>
              <w:spacing w:line="440" w:lineRule="exact"/>
              <w:jc w:val="center"/>
              <w:rPr>
                <w:rFonts w:ascii="宋体" w:hAnsi="宋体"/>
                <w:color w:val="000000"/>
                <w:szCs w:val="21"/>
              </w:rPr>
            </w:pPr>
            <w:r>
              <w:rPr>
                <w:rFonts w:ascii="宋体" w:hAnsi="宋体" w:hint="eastAsia"/>
                <w:color w:val="000000"/>
                <w:szCs w:val="21"/>
              </w:rPr>
              <w:t>耐穿刺性能</w:t>
            </w:r>
            <w:r>
              <w:rPr>
                <w:rFonts w:ascii="宋体" w:hAnsi="宋体" w:hint="eastAsia"/>
                <w:color w:val="000000"/>
                <w:szCs w:val="21"/>
                <w:vertAlign w:val="superscript"/>
              </w:rPr>
              <w:t>②</w:t>
            </w:r>
          </w:p>
          <w:p>
            <w:pPr>
              <w:snapToGrid w:val="0"/>
              <w:spacing w:line="440" w:lineRule="exact"/>
              <w:jc w:val="center"/>
              <w:rPr>
                <w:rFonts w:ascii="宋体" w:hAnsi="宋体"/>
                <w:color w:val="000000"/>
                <w:szCs w:val="21"/>
              </w:rPr>
            </w:pPr>
            <w:r>
              <w:rPr>
                <w:rFonts w:ascii="宋体" w:hAnsi="宋体"/>
                <w:color w:val="000000"/>
                <w:szCs w:val="21"/>
              </w:rPr>
              <w:t>(</w:t>
            </w:r>
            <w:r>
              <w:rPr>
                <w:rFonts w:ascii="宋体" w:hAnsi="宋体" w:hint="eastAsia"/>
                <w:color w:val="000000"/>
                <w:szCs w:val="21"/>
              </w:rPr>
              <w:t>高温、低温、浸水</w:t>
            </w:r>
            <w:r>
              <w:rPr>
                <w:rFonts w:ascii="宋体" w:hAnsi="宋体"/>
                <w:color w:val="000000"/>
                <w:szCs w:val="21"/>
              </w:rPr>
              <w:t>)</w:t>
            </w:r>
          </w:p>
        </w:tc>
        <w:tc>
          <w:tcPr>
            <w:tcW w:w="1545" w:type="pct"/>
            <w:vAlign w:val="center"/>
          </w:tcPr>
          <w:p>
            <w:pPr>
              <w:snapToGrid w:val="0"/>
              <w:spacing w:line="440" w:lineRule="exact"/>
              <w:jc w:val="center"/>
              <w:rPr>
                <w:rFonts w:ascii="宋体" w:hAnsi="宋体"/>
                <w:szCs w:val="21"/>
              </w:rPr>
            </w:pPr>
            <w:r>
              <w:rPr>
                <w:rFonts w:ascii="宋体" w:hAnsi="宋体" w:hint="eastAsia"/>
                <w:color w:val="000000"/>
                <w:szCs w:val="21"/>
              </w:rPr>
              <w:t>GB 2811-2019</w:t>
            </w:r>
          </w:p>
        </w:tc>
        <w:tc>
          <w:tcPr>
            <w:tcW w:w="1542" w:type="pct"/>
            <w:vAlign w:val="center"/>
          </w:tcPr>
          <w:p>
            <w:pPr>
              <w:snapToGrid w:val="0"/>
              <w:spacing w:line="440" w:lineRule="exact"/>
              <w:jc w:val="center"/>
              <w:rPr>
                <w:rFonts w:ascii="宋体" w:hAnsi="宋体"/>
                <w:szCs w:val="21"/>
              </w:rPr>
            </w:pPr>
            <w:r>
              <w:rPr>
                <w:rFonts w:ascii="宋体" w:hAnsi="宋体" w:hint="eastAsia"/>
                <w:color w:val="000000"/>
                <w:szCs w:val="21"/>
              </w:rPr>
              <w:t>GB/T 2812-2006 4.4</w:t>
            </w:r>
          </w:p>
        </w:tc>
      </w:tr>
      <w:tr>
        <w:trPr>
          <w:jc w:val="center"/>
        </w:trPr>
        <w:tc>
          <w:tcPr>
            <w:tcW w:w="1" w:type="pct"/>
            <w:gridSpan w:val="4"/>
            <w:vAlign w:val="center"/>
          </w:tcPr>
          <w:p>
            <w:pPr>
              <w:snapToGrid w:val="0"/>
              <w:spacing w:line="440" w:lineRule="exact"/>
              <w:rPr>
                <w:rFonts w:ascii="宋体" w:hAnsi="宋体"/>
                <w:color w:val="000000"/>
                <w:sz w:val="18"/>
                <w:szCs w:val="18"/>
              </w:rPr>
            </w:pPr>
            <w:r>
              <w:rPr>
                <w:rFonts w:ascii="宋体" w:hAnsi="宋体" w:hint="eastAsia"/>
                <w:color w:val="000000"/>
                <w:sz w:val="18"/>
                <w:szCs w:val="18"/>
              </w:rPr>
              <w:t>注：</w:t>
            </w:r>
            <w:bookmarkStart w:id="0" w:name="_GoBack"/>
            <w:bookmarkEnd w:id="0"/>
            <w:r>
              <w:rPr>
                <w:rFonts w:ascii="宋体" w:hAnsi="宋体" w:hint="eastAsia"/>
                <w:color w:val="000000"/>
                <w:sz w:val="18"/>
                <w:szCs w:val="18"/>
              </w:rPr>
              <w:t>① 检验样本为4顶，二顶及以上不合格，单项判定为不合格。</w:t>
            </w:r>
          </w:p>
          <w:p>
            <w:pPr>
              <w:snapToGrid w:val="0"/>
              <w:spacing w:line="440" w:lineRule="exact"/>
              <w:ind w:firstLine="420"/>
              <w:rPr>
                <w:rFonts w:ascii="宋体" w:hAnsi="宋体"/>
                <w:color w:val="000000"/>
                <w:szCs w:val="21"/>
              </w:rPr>
            </w:pPr>
            <w:r>
              <w:rPr>
                <w:rFonts w:ascii="宋体" w:hAnsi="宋体" w:hint="eastAsia"/>
                <w:color w:val="000000"/>
                <w:sz w:val="18"/>
                <w:szCs w:val="18"/>
              </w:rPr>
              <w:t>② 检验样本为3顶，其中高温、低温、浸水各1顶，一顶及以上不合格，单项判定为不合格。</w:t>
            </w:r>
          </w:p>
        </w:tc>
      </w:tr>
    </w:tbl>
    <w:p>
      <w:pPr>
        <w:snapToGrid w:val="0"/>
        <w:spacing w:line="440" w:lineRule="exact"/>
        <w:ind w:firstLineChars="171" w:firstLine="359"/>
        <w:rPr>
          <w:rFonts w:ascii="宋体" w:hAnsi="宋体"/>
          <w:szCs w:val="21"/>
        </w:rPr>
      </w:pPr>
      <w:r>
        <w:rPr>
          <w:rFonts w:ascii="宋体" w:hAnsi="宋体" w:hint="eastAsia"/>
          <w:szCs w:val="21"/>
        </w:rPr>
        <w:t>凡是注日期的文件，其随后所有的修改单（不包括勘误的内容）或修订版不适用于本细则。</w:t>
      </w:r>
    </w:p>
    <w:p>
      <w:pPr>
        <w:snapToGrid w:val="0"/>
        <w:spacing w:line="440" w:lineRule="exact"/>
        <w:ind w:firstLineChars="171" w:firstLine="359"/>
        <w:rPr>
          <w:rFonts w:ascii="宋体" w:hAnsi="宋体"/>
          <w:szCs w:val="21"/>
        </w:rPr>
      </w:pPr>
    </w:p>
    <w:p>
      <w:pPr>
        <w:spacing w:line="360" w:lineRule="auto"/>
        <w:rPr>
          <w:rFonts w:ascii="黑体" w:eastAsia="黑体" w:hAnsi="黑体"/>
          <w:szCs w:val="21"/>
        </w:rPr>
      </w:pPr>
      <w:r>
        <w:rPr>
          <w:rFonts w:ascii="黑体" w:eastAsia="黑体" w:hAnsi="黑体" w:hint="eastAsia"/>
          <w:szCs w:val="21"/>
        </w:rPr>
        <w:t>3 判定规则</w:t>
      </w:r>
    </w:p>
    <w:p>
      <w:pPr>
        <w:snapToGrid w:val="0"/>
        <w:spacing w:line="440" w:lineRule="exact"/>
        <w:rPr>
          <w:rFonts w:ascii="宋体" w:hAnsi="宋体"/>
          <w:szCs w:val="21"/>
        </w:rPr>
      </w:pPr>
      <w:r>
        <w:rPr>
          <w:rFonts w:ascii="宋体" w:hAnsi="宋体" w:hint="eastAsia"/>
          <w:szCs w:val="21"/>
        </w:rPr>
        <w:t>3.1依据标准</w:t>
      </w:r>
    </w:p>
    <w:p>
      <w:pPr>
        <w:snapToGrid w:val="0"/>
        <w:spacing w:line="440" w:lineRule="exact"/>
        <w:ind w:firstLineChars="200" w:firstLine="420"/>
        <w:rPr>
          <w:rFonts w:ascii="宋体" w:hAnsi="宋体"/>
          <w:color w:val="000000"/>
          <w:szCs w:val="21"/>
        </w:rPr>
      </w:pPr>
      <w:r>
        <w:rPr>
          <w:rFonts w:ascii="宋体" w:hAnsi="宋体" w:hint="eastAsia"/>
          <w:color w:val="000000"/>
          <w:szCs w:val="21"/>
        </w:rPr>
        <w:t>GB 2811-2019 《头部防护 安全帽》</w:t>
      </w:r>
    </w:p>
    <w:p>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pPr>
        <w:snapToGrid w:val="0"/>
        <w:spacing w:line="440" w:lineRule="exact"/>
        <w:rPr>
          <w:rFonts w:ascii="宋体" w:hAnsi="宋体"/>
          <w:szCs w:val="21"/>
        </w:rPr>
      </w:pPr>
      <w:r>
        <w:rPr>
          <w:rFonts w:ascii="宋体" w:hAnsi="宋体" w:hint="eastAsia"/>
          <w:szCs w:val="21"/>
        </w:rPr>
        <w:t>3.2判定原则</w:t>
      </w:r>
    </w:p>
    <w:p>
      <w:pPr>
        <w:snapToGrid w:val="0"/>
        <w:spacing w:line="440" w:lineRule="exact"/>
        <w:ind w:firstLineChars="200" w:firstLine="420"/>
        <w:rPr>
          <w:rFonts w:ascii="宋体" w:hAnsi="宋体"/>
          <w:szCs w:val="21"/>
        </w:rPr>
      </w:pPr>
      <w:r>
        <w:rPr>
          <w:rFonts w:ascii="宋体" w:hAnsi="宋体" w:hint="eastAsia"/>
          <w:szCs w:val="21"/>
        </w:rPr>
        <w:t>经检验，检验项目全部合格，判定为被抽查产品合格；检验项目中任一项或一项以上不</w:t>
      </w:r>
      <w:r>
        <w:rPr>
          <w:rFonts w:ascii="宋体" w:hAnsi="宋体" w:hint="eastAsia"/>
          <w:szCs w:val="21"/>
        </w:rPr>
        <w:lastRenderedPageBreak/>
        <w:t>合格，判定为被抽查产品不合格。</w:t>
      </w:r>
    </w:p>
    <w:p>
      <w:pPr>
        <w:snapToGrid w:val="0"/>
        <w:spacing w:line="440" w:lineRule="exact"/>
        <w:ind w:firstLineChars="199" w:firstLine="418"/>
        <w:rPr>
          <w:rFonts w:ascii="宋体" w:hAnsi="宋体"/>
          <w:szCs w:val="21"/>
        </w:rPr>
      </w:pPr>
      <w:r>
        <w:rPr>
          <w:rFonts w:ascii="宋体" w:hAnsi="宋体" w:hint="eastAsia"/>
          <w:szCs w:val="21"/>
        </w:rPr>
        <w:t>若被检产品明示的质量要求高于本细则中检验项目依据的标准要求时，应按被检产品明示的质量要求判定。</w:t>
      </w:r>
    </w:p>
    <w:p>
      <w:pPr>
        <w:snapToGrid w:val="0"/>
        <w:spacing w:line="440" w:lineRule="exact"/>
        <w:ind w:firstLineChars="199" w:firstLine="418"/>
        <w:rPr>
          <w:rFonts w:ascii="宋体" w:hAnsi="宋体"/>
          <w:szCs w:val="21"/>
        </w:rPr>
      </w:pPr>
      <w:r>
        <w:rPr>
          <w:rFonts w:ascii="宋体" w:hAnsi="宋体" w:hint="eastAsia"/>
          <w:szCs w:val="21"/>
        </w:rPr>
        <w:t>若被检产品明示的质量要求低于本细则中检验项目依据的强制性标准要求时，应按照强制性标准要求判定。</w:t>
      </w:r>
    </w:p>
    <w:p>
      <w:pPr>
        <w:snapToGrid w:val="0"/>
        <w:spacing w:line="440" w:lineRule="exact"/>
        <w:ind w:firstLineChars="199" w:firstLine="418"/>
        <w:rPr>
          <w:rFonts w:ascii="宋体" w:hAnsi="宋体"/>
          <w:szCs w:val="21"/>
        </w:rPr>
      </w:pPr>
      <w:r>
        <w:rPr>
          <w:rFonts w:ascii="宋体" w:hAnsi="宋体" w:hint="eastAsia"/>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若被检产品明示的质量要求缺少本细则中检验项目依据的推荐性标准要求时，该项目不参与判定，但应在检验报告备注中进行说明。</w:t>
      </w:r>
    </w:p>
    <w:sectPr>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3C8CB7-8D75-4EA7-9EBA-F2F9EC8DA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Pr>
      <w:sz w:val="18"/>
      <w:szCs w:val="18"/>
    </w:rPr>
  </w:style>
  <w:style w:type="paragraph" w:styleId="a5">
    <w:name w:val="footer"/>
    <w:basedOn w:val="a"/>
    <w:link w:val="a6"/>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2</Pages>
  <Words>144</Words>
  <Characters>826</Characters>
  <Application>Microsoft Office Word</Application>
  <DocSecurity>0</DocSecurity>
  <Lines>6</Lines>
  <Paragraphs>1</Paragraphs>
  <ScaleCrop>false</ScaleCrop>
  <Company>Microsoft</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19</cp:revision>
  <dcterms:created xsi:type="dcterms:W3CDTF">2021-06-04T07:50:00Z</dcterms:created>
  <dcterms:modified xsi:type="dcterms:W3CDTF">2021-07-07T02:58:00Z</dcterms:modified>
</cp:coreProperties>
</file>