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《重庆市市场监督管理行政处罚裁量规则（修正征求意见稿）》起草说明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起草背景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《行政处罚法》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《市场监督管理行政处罚程序规定》于今年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月进行了修订，修订后行政处罚裁量的规则发生了较多变化。为贯彻落实新的相关规定，保障行政相对人的合法权益，规范市场监管行政执法，有必要对我局依据原《行政处罚法》和《市场监督管理行政处罚程序暂行规定》制定的《重庆市市场监督管理行政处罚裁量规则（暂行）》进行修改完善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起草过程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今年6月初，我局启动了该项制度的修改工作，逐条梳理研究《重庆市市场监督管理行政处罚裁量规则（暂行）》与新修订的《行政处罚法》《程序规定》不一致、不衔接、不配套的条文和内容，于9月初形成初稿。在征求市药监局、市知识产权局、市场监管各区县局、市市场监管综合行政执法总队等单位和部门意见后，经修改完善，形成本次向公众征求意见的《重庆市市场监督管理行政处罚裁量规则（修正征求意见稿）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主要修改</w:t>
      </w:r>
      <w:r>
        <w:rPr>
          <w:rFonts w:hint="eastAsia" w:ascii="黑体" w:hAnsi="黑体" w:eastAsia="黑体" w:cs="黑体"/>
          <w:sz w:val="32"/>
          <w:szCs w:val="32"/>
        </w:rPr>
        <w:t>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原《重庆市市场监督管理行政处罚裁量规则（暂行）》共三十五条，修改后三十六条，总计改动三十二条，其中修改三十一条，新增一条，并将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制度名称《重庆市市场监督管理行政处罚裁量规则（暂行）》修改为《重庆市市场监督管理行政处罚裁量规则》。主要修改内容如下：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  <w:t>（一）引入新的行政处罚种类。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依据《行政处罚法》第九条的规定，引入了包括“通报批评、降低资质等级、限制生产经营活动”等新的行政处罚种类。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  <w:t>（二）增加可以不予处罚的裁量种类。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依据《行政处罚法》第三十三条的规定，增加了“当事人初次违法且危害后果轻微并及时改正的，可以依法不予行政处罚”的裁量种类。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调整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  <w:t>应当不予处罚的裁量范围。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依据《行政处罚法》第三十一条、第三十三条、第三十六条等规定，在应当不予处罚的范围中，增加了当事人“有证据足以证明没有主观过错”、违法行为“涉及公民生命健康安全、金融安全且有危害后果，在五年内未被发现”、“智力残疾人在不能辨认或者不能控制自己行为时实施违法行为”等内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  <w:t>（四）调整应当从轻或减轻处罚的裁量范围。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依据《行政处罚法》第三十二条等规定，在应当从轻或减轻处罚的裁量范围中，增加了“主动消除或者减轻违法行为危害后果”、“主动中止违法行为，危害后果轻微”等内容。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  <w:t>（五）调整可以从轻处罚的裁量范围。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依据《行政处罚法》第三十一条规定，在可以从轻处罚的裁量范围中，增加了“尚未完全丧失辨认或者控制自己行为能力的精神病人、智力残疾人实施违法行为”等内容。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  <w:t>（六）调整可以酌情减轻处罚的裁量范围。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依据《行政处罚法》第三十一条规定，在可以酌情减轻处罚的裁量范围中，增加了“尚未完全丧失辨认或者控制自己行为能力的精神病人、智力残疾人实施的违法行为轻微并及时纠正，社会危害性较小”等内容。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  <w:t>（七）调整应当从重处罚的裁量范围。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依据《行政处罚法》第四十九条规定，在应当从重处罚的裁量范围中，增加了“发生重大传染病疫情等突发事件，实施违反行政机关对突发事件应对措施的违法行为”等内容。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72997"/>
    <w:multiLevelType w:val="singleLevel"/>
    <w:tmpl w:val="61A7299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E60C0"/>
    <w:rsid w:val="0CCF3250"/>
    <w:rsid w:val="0F8E60C0"/>
    <w:rsid w:val="40F53A42"/>
    <w:rsid w:val="45651127"/>
    <w:rsid w:val="52C62F18"/>
    <w:rsid w:val="65AB314B"/>
    <w:rsid w:val="75ED6C53"/>
    <w:rsid w:val="76C21C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ind w:left="100" w:leftChars="100" w:right="100" w:right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2021-11-12T01:11:00Z</dcterms:created>
  <dc:creator>dh</dc:creator>
  <cp:lastModifiedBy>dh</cp:lastModifiedBy>
  <dcterms:modified xsi:type="dcterms:W3CDTF">2021-12-01T07:49:23Z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